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 Narrow" w:hAnsi="Arial Narrow" w:eastAsia="Times New Roman" w:cs="Times New Roman"/>
          <w:sz w:val="24"/>
          <w:szCs w:val="24"/>
          <w:lang w:val="en-US" w:eastAsia="ro-RO"/>
        </w:rPr>
      </w:pPr>
    </w:p>
    <w:tbl>
      <w:tblPr>
        <w:tblStyle w:val="8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541"/>
        <w:gridCol w:w="126"/>
        <w:gridCol w:w="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 w:after="0" w:line="240" w:lineRule="auto"/>
              <w:ind w:right="113"/>
              <w:rPr>
                <w:rFonts w:ascii="Arial Narrow" w:hAnsi="Arial Narrow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1"/>
                <w:szCs w:val="21"/>
                <w:lang w:eastAsia="ro-RO"/>
              </w:rPr>
              <w:t>INFORMAŢII PERSONALE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 w:after="0" w:line="240" w:lineRule="auto"/>
              <w:ind w:left="-34" w:right="113"/>
              <w:rPr>
                <w:rFonts w:ascii="Arial Narrow" w:hAnsi="Arial Narrow" w:eastAsia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1"/>
                <w:szCs w:val="21"/>
                <w:lang w:val="en-US" w:eastAsia="ro-RO"/>
              </w:rPr>
              <w:t>V</w:t>
            </w: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1"/>
                <w:szCs w:val="21"/>
                <w:lang w:val="ro-RO" w:eastAsia="ro-RO"/>
              </w:rPr>
              <w:t>ărzaru Galina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883" w:type="dxa"/>
          <w:trHeight w:val="227" w:hRule="exact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after="0" w:line="100" w:lineRule="atLeast"/>
              <w:jc w:val="center"/>
              <w:rPr>
                <w:rFonts w:ascii="Arial Narrow" w:hAnsi="Arial Narrow" w:eastAsia="SimSun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 Narrow" w:hAnsi="Arial Narrow" w:eastAsia="SimSun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bookmarkStart w:id="0" w:name="_GoBack"/>
            <w:r>
              <w:drawing>
                <wp:inline distT="0" distB="0" distL="114300" distR="114300">
                  <wp:extent cx="1054100" cy="1385570"/>
                  <wp:effectExtent l="0" t="0" r="12700" b="5080"/>
                  <wp:docPr id="8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3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left="-34" w:right="113"/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</w:pP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 str. Nicolae Testemi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eastAsia="ru-RU"/>
              </w:rPr>
              <w:t>ț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eanu, 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 xml:space="preserve">or. Chişinău, MD </w:t>
            </w: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  <w:lang w:val="zh-CN" w:eastAsia="ro-RO"/>
              </w:rPr>
              <w:t>20</w:t>
            </w: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  <w:lang w:eastAsia="ro-RO"/>
              </w:rPr>
              <w:t>2</w:t>
            </w: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  <w:lang w:val="zh-CN" w:eastAsia="ro-RO"/>
              </w:rPr>
              <w:t>5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>, Republica                                                                       Moldova,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right" w:pos="8218"/>
              </w:tabs>
              <w:spacing w:after="0" w:line="240" w:lineRule="auto"/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</w:pP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4445"/>
                  <wp:wrapSquare wrapText="bothSides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eastAsia="Times New Roman" w:cs="Arial"/>
                <w:spacing w:val="-6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>0 22 223551</w:t>
            </w:r>
            <w:r>
              <w:rPr>
                <w:rFonts w:hint="default" w:ascii="Arial" w:hAnsi="Arial" w:eastAsia="Times New Roman" w:cs="Arial"/>
                <w:spacing w:val="-6"/>
                <w:sz w:val="21"/>
                <w:szCs w:val="21"/>
                <w:lang w:val="zh-CN" w:eastAsia="ru-RU"/>
              </w:rPr>
              <w:drawing>
                <wp:inline distT="0" distB="0" distL="0" distR="0">
                  <wp:extent cx="130810" cy="130810"/>
                  <wp:effectExtent l="19050" t="0" r="2540" b="0"/>
                  <wp:docPr id="4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" w:hAnsi="Arial" w:eastAsia="Times New Roman" w:cs="Arial"/>
                <w:spacing w:val="-6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>069273638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left="-34" w:right="113"/>
              <w:jc w:val="both"/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</w:pP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5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Arial" w:hAnsi="Arial" w:cs="Arial"/>
                <w:sz w:val="21"/>
                <w:szCs w:val="21"/>
              </w:rPr>
              <w:fldChar w:fldCharType="begin"/>
            </w:r>
            <w:r>
              <w:rPr>
                <w:rFonts w:hint="default" w:ascii="Arial" w:hAnsi="Arial" w:cs="Arial"/>
                <w:sz w:val="21"/>
                <w:szCs w:val="21"/>
              </w:rPr>
              <w:instrText xml:space="preserve"> HYPERLINK "mailto:galinavarzaru@gmail.com" </w:instrText>
            </w:r>
            <w:r>
              <w:rPr>
                <w:rFonts w:hint="default" w:ascii="Arial" w:hAnsi="Arial" w:cs="Arial"/>
                <w:sz w:val="21"/>
                <w:szCs w:val="21"/>
              </w:rPr>
              <w:fldChar w:fldCharType="separate"/>
            </w:r>
            <w:r>
              <w:rPr>
                <w:rStyle w:val="4"/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>galinavarzaru@gmail.com</w:t>
            </w:r>
            <w:r>
              <w:rPr>
                <w:rStyle w:val="4"/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fldChar w:fldCharType="end"/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 w:after="0" w:line="240" w:lineRule="auto"/>
              <w:ind w:right="113"/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97" w:hRule="atLeast"/>
        </w:trPr>
        <w:tc>
          <w:tcPr>
            <w:tcW w:w="168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left="-34" w:right="113"/>
              <w:jc w:val="both"/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</w:pPr>
            <w:r>
              <w:rPr>
                <w:rFonts w:hint="default" w:ascii="Arial" w:hAnsi="Arial" w:eastAsia="Times New Roman" w:cs="Arial"/>
                <w:bCs/>
                <w:color w:val="0070C0"/>
                <w:sz w:val="21"/>
                <w:szCs w:val="21"/>
                <w:lang w:val="zh-CN" w:eastAsia="ro-RO"/>
              </w:rPr>
              <w:t xml:space="preserve"> Sexul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>feminin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| </w:t>
            </w:r>
            <w:r>
              <w:rPr>
                <w:rFonts w:hint="default" w:ascii="Arial" w:hAnsi="Arial" w:eastAsia="Times New Roman" w:cs="Arial"/>
                <w:bCs/>
                <w:color w:val="0070C0"/>
                <w:sz w:val="21"/>
                <w:szCs w:val="21"/>
                <w:lang w:val="zh-CN" w:eastAsia="ro-RO"/>
              </w:rPr>
              <w:t>Data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Arial" w:hAnsi="Arial" w:eastAsia="Times New Roman" w:cs="Arial"/>
                <w:bCs/>
                <w:color w:val="0070C0"/>
                <w:sz w:val="21"/>
                <w:szCs w:val="21"/>
                <w:lang w:val="zh-CN" w:eastAsia="ro-RO"/>
              </w:rPr>
              <w:t>naşterii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  <w:t>29.04.1971</w:t>
            </w:r>
            <w:r>
              <w:rPr>
                <w:rFonts w:hint="default" w:ascii="Arial" w:hAnsi="Arial" w:eastAsia="Times New Roman" w:cs="Arial"/>
                <w:bCs/>
                <w:color w:val="0070C0"/>
                <w:sz w:val="21"/>
                <w:szCs w:val="21"/>
                <w:lang w:val="zh-CN" w:eastAsia="ro-RO"/>
              </w:rPr>
              <w:t xml:space="preserve"> </w:t>
            </w: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</w:t>
            </w:r>
          </w:p>
          <w:p>
            <w:pPr>
              <w:spacing w:after="0" w:line="240" w:lineRule="auto"/>
              <w:ind w:left="-34" w:right="113"/>
              <w:jc w:val="both"/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</w:pP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 xml:space="preserve"> </w:t>
            </w:r>
          </w:p>
          <w:p>
            <w:pPr>
              <w:spacing w:after="0" w:line="240" w:lineRule="auto"/>
              <w:ind w:left="-34" w:right="113"/>
              <w:jc w:val="both"/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</w:pPr>
            <w:r>
              <w:rPr>
                <w:rFonts w:hint="default" w:ascii="Arial" w:hAnsi="Arial" w:eastAsia="Times New Roman" w:cs="Arial"/>
                <w:sz w:val="21"/>
                <w:szCs w:val="21"/>
                <w:lang w:val="zh-CN" w:eastAsia="ru-RU"/>
              </w:rPr>
              <w:t>Căsătorită</w:t>
            </w:r>
          </w:p>
          <w:p>
            <w:pPr>
              <w:spacing w:after="0" w:line="240" w:lineRule="auto"/>
              <w:rPr>
                <w:rFonts w:hint="default" w:ascii="Arial" w:hAnsi="Arial" w:eastAsia="Times New Roman" w:cs="Arial"/>
                <w:bCs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hint="default" w:ascii="Arial" w:hAnsi="Arial" w:eastAsia="Times New Roman" w:cs="Arial"/>
                <w:sz w:val="21"/>
                <w:szCs w:val="21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88" w:type="dxa"/>
            <w:tcBorders>
              <w:right w:val="single" w:color="0070C0" w:sz="4" w:space="0"/>
            </w:tcBorders>
          </w:tcPr>
          <w:p>
            <w:pPr>
              <w:spacing w:before="74" w:after="0" w:line="240" w:lineRule="auto"/>
              <w:ind w:right="113"/>
              <w:rPr>
                <w:rFonts w:ascii="Times New Roman" w:hAnsi="Times New Roman" w:eastAsia="Times New Roman" w:cs="Times New Roman"/>
                <w:sz w:val="20"/>
                <w:szCs w:val="20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  <w:t xml:space="preserve">Locul de muncă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  <w:lang w:val="zh-CN" w:eastAsia="ro-RO"/>
              </w:rPr>
            </w:pP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before="74"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  <w:t xml:space="preserve">Instituția Publică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Liceul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  <w:t xml:space="preserve"> Teoretic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 „M.Koțiubinski”  - director, grad managerial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  <w:t>întâi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, profesoară de limba și literatura română, alolingvi, grad didactic superior.</w:t>
            </w:r>
          </w:p>
          <w:p>
            <w:pPr>
              <w:spacing w:before="74" w:after="0" w:line="240" w:lineRule="auto"/>
              <w:ind w:left="-34" w:right="113"/>
              <w:jc w:val="both"/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571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70C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  <w:t>Educaţie şi formare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4"/>
                <w:szCs w:val="24"/>
                <w:lang w:val="zh-CN" w:eastAsia="ru-RU"/>
              </w:rPr>
              <w:drawing>
                <wp:inline distT="0" distB="0" distL="0" distR="0">
                  <wp:extent cx="6048375" cy="76200"/>
                  <wp:effectExtent l="0" t="0" r="9525" b="0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884" cy="81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color w:val="0070C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1"/>
                <w:szCs w:val="21"/>
                <w:lang w:val="zh-CN" w:eastAsia="ro-RO"/>
              </w:rPr>
              <w:t>Perioada</w:t>
            </w:r>
          </w:p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color w:val="0070C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1"/>
                <w:szCs w:val="21"/>
                <w:lang w:val="zh-CN" w:eastAsia="ro-RO"/>
              </w:rPr>
              <w:t>Calificarea / diploma obţinută</w:t>
            </w:r>
          </w:p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color w:val="0070C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1"/>
                <w:szCs w:val="21"/>
                <w:lang w:val="zh-CN" w:eastAsia="ro-RO"/>
              </w:rPr>
              <w:t>Disciplinele principale studiate / competenţe profesionale dobândite</w:t>
            </w:r>
          </w:p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1"/>
                <w:szCs w:val="21"/>
                <w:lang w:val="zh-CN" w:eastAsia="ro-RO"/>
              </w:rPr>
              <w:t>Numele şi tipul instituţiei de învăţământ / furnizorului de formare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  <w:t>2018</w:t>
            </w:r>
            <w:r>
              <w:rPr>
                <w:rFonts w:hint="default"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  <w:t>-</w:t>
            </w:r>
            <w:r>
              <w:rPr>
                <w:rFonts w:hint="default"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  <w:t>2020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zh-CN" w:eastAsia="ro-RO"/>
              </w:rPr>
              <w:t>Masterat, Management educațional, USM.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688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  <w:t>1988 - 1993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Studii superioare, Facultatea de Filologie specialitatea Limba şi Literatura Rusă în școala  națională cu dreptul de predare a limbii române în școala rusă, Universitatea Pedagogică de Stat Tiraspol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88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color w:val="00000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  <w:t>1978 - 1988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Studii medii, Şcoala medie, s. Băxani, Soroca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1"/>
                <w:szCs w:val="21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571" w:type="dxa"/>
            <w:gridSpan w:val="4"/>
          </w:tcPr>
          <w:p>
            <w:pPr>
              <w:spacing w:before="74" w:after="0" w:line="240" w:lineRule="auto"/>
              <w:ind w:right="113"/>
              <w:rPr>
                <w:rFonts w:ascii="Times New Roman" w:hAnsi="Times New Roman" w:eastAsia="Times New Roman" w:cs="Times New Roman"/>
                <w:b/>
                <w:bCs/>
                <w:color w:val="0070C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  <w:t>Experienţa profesională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drawing>
                <wp:inline distT="0" distB="0" distL="0" distR="0">
                  <wp:extent cx="5943600" cy="107950"/>
                  <wp:effectExtent l="0" t="0" r="0" b="6350"/>
                  <wp:docPr id="7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07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color w:val="0070C0"/>
                <w:sz w:val="24"/>
                <w:szCs w:val="24"/>
                <w:lang w:val="zh-CN" w:eastAsia="ro-RO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688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</w:t>
            </w: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2016…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val="en-US" w:eastAsia="ru-RU"/>
              </w:rPr>
              <w:t>2015-2016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</w:t>
            </w:r>
          </w:p>
          <w:p>
            <w:pPr>
              <w:spacing w:after="0" w:line="240" w:lineRule="auto"/>
              <w:ind w:firstLine="300" w:firstLineChars="150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>2010-201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2007-2010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1998-2007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1993-1998</w:t>
            </w:r>
          </w:p>
          <w:p>
            <w:pPr>
              <w:spacing w:after="0" w:line="240" w:lineRule="auto"/>
              <w:ind w:firstLine="244"/>
              <w:jc w:val="center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ind w:firstLine="244"/>
              <w:jc w:val="center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  <w:p>
            <w:pPr>
              <w:spacing w:after="0" w:line="240" w:lineRule="auto"/>
              <w:ind w:firstLine="244"/>
              <w:jc w:val="center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2022-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>2020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>2020</w:t>
            </w:r>
          </w:p>
          <w:p>
            <w:pPr>
              <w:spacing w:after="0" w:line="240" w:lineRule="auto"/>
              <w:rPr>
                <w:rFonts w:hint="default" w:ascii="Arial Narrow" w:hAnsi="Arial Narrow" w:eastAsia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 xml:space="preserve">          </w:t>
            </w:r>
            <w:r>
              <w:rPr>
                <w:rFonts w:hint="default" w:ascii="Arial Narrow" w:hAnsi="Arial Narrow" w:eastAsia="Times New Roman" w:cs="Times New Roman"/>
                <w:b/>
                <w:sz w:val="21"/>
                <w:szCs w:val="21"/>
                <w:lang w:eastAsia="ru-RU"/>
              </w:rPr>
              <w:t>2021</w:t>
            </w:r>
          </w:p>
          <w:p>
            <w:pPr>
              <w:spacing w:after="0" w:line="240" w:lineRule="auto"/>
              <w:rPr>
                <w:rFonts w:hint="default" w:ascii="Arial Narrow" w:hAnsi="Arial Narrow" w:eastAsia="Times New Roman" w:cs="Times New Roman"/>
                <w:b/>
                <w:sz w:val="21"/>
                <w:szCs w:val="21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1"/>
                <w:szCs w:val="21"/>
                <w:lang w:eastAsia="ru-RU"/>
              </w:rPr>
              <w:t xml:space="preserve">          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  <w:p>
            <w:pPr>
              <w:spacing w:after="0" w:line="240" w:lineRule="auto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2020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2020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</w:t>
            </w:r>
          </w:p>
          <w:p>
            <w:pPr>
              <w:spacing w:after="0" w:line="240" w:lineRule="auto"/>
              <w:ind w:firstLine="600" w:firstLineChars="30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>2018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</w:t>
            </w:r>
          </w:p>
          <w:p>
            <w:pPr>
              <w:spacing w:after="0" w:line="240" w:lineRule="auto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 xml:space="preserve">    2018</w:t>
            </w:r>
          </w:p>
          <w:p>
            <w:pPr>
              <w:spacing w:after="0" w:line="240" w:lineRule="auto"/>
              <w:ind w:firstLine="300" w:firstLineChars="15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spacing w:after="0" w:line="240" w:lineRule="auto"/>
              <w:ind w:firstLine="300" w:firstLineChars="150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 xml:space="preserve">     2018</w:t>
            </w:r>
          </w:p>
          <w:p>
            <w:pPr>
              <w:spacing w:after="0" w:line="240" w:lineRule="auto"/>
              <w:ind w:firstLine="300" w:firstLineChars="15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spacing w:after="0" w:line="240" w:lineRule="auto"/>
              <w:ind w:firstLine="600" w:firstLineChars="300"/>
              <w:jc w:val="both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  <w:p>
            <w:pPr>
              <w:spacing w:after="0" w:line="240" w:lineRule="auto"/>
              <w:ind w:firstLine="300" w:firstLineChars="15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spacing w:after="0" w:line="240" w:lineRule="auto"/>
              <w:ind w:firstLine="600" w:firstLineChars="300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  <w:p>
            <w:pPr>
              <w:spacing w:after="0" w:line="240" w:lineRule="auto"/>
              <w:ind w:firstLine="300" w:firstLineChars="15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</w:p>
          <w:p>
            <w:pPr>
              <w:spacing w:after="0" w:line="240" w:lineRule="auto"/>
              <w:ind w:firstLine="300" w:firstLineChars="150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>2010-20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22</w:t>
            </w:r>
          </w:p>
          <w:p>
            <w:pPr>
              <w:spacing w:after="0" w:line="240" w:lineRule="auto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2017-201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2012-2019</w:t>
            </w:r>
          </w:p>
          <w:p>
            <w:pPr>
              <w:spacing w:after="0" w:line="240" w:lineRule="auto"/>
              <w:ind w:left="660" w:hanging="600" w:hangingChars="30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>2018</w:t>
            </w:r>
          </w:p>
          <w:p>
            <w:pPr>
              <w:spacing w:after="0" w:line="240" w:lineRule="auto"/>
              <w:ind w:left="440" w:hanging="400" w:hangingChars="20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</w:t>
            </w:r>
          </w:p>
          <w:p>
            <w:pPr>
              <w:spacing w:after="0" w:line="240" w:lineRule="auto"/>
              <w:ind w:firstLine="500" w:firstLineChars="25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2018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</w:t>
            </w:r>
          </w:p>
          <w:p>
            <w:pPr>
              <w:spacing w:after="0" w:line="240" w:lineRule="auto"/>
              <w:ind w:firstLine="500" w:firstLineChars="250"/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2017</w:t>
            </w:r>
          </w:p>
          <w:p>
            <w:pPr>
              <w:spacing w:after="0" w:line="240" w:lineRule="auto"/>
              <w:ind w:left="-220" w:leftChars="-100" w:firstLine="800" w:firstLineChars="400"/>
              <w:jc w:val="left"/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sz w:val="20"/>
                <w:szCs w:val="20"/>
                <w:lang w:val="zh-CN" w:eastAsia="ru-RU"/>
              </w:rPr>
              <w:t xml:space="preserve">          </w:t>
            </w:r>
            <w:r>
              <w:rPr>
                <w:rFonts w:hint="default" w:ascii="Arial Narrow" w:hAnsi="Arial Narrow" w:eastAsia="Times New Roman" w:cs="Times New Roman"/>
                <w:b/>
                <w:sz w:val="20"/>
                <w:szCs w:val="20"/>
                <w:lang w:eastAsia="ru-RU"/>
              </w:rPr>
              <w:t xml:space="preserve"> 2016</w:t>
            </w: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Prezent- directorul instituției,  profesoară de limba și literatura română la Liceul Teoretic „M.Koțiubinski”, Chișinău;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director-adjunct/instruire, profesoară de limba și literatura română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la Liceul Teoretic „M.Koțiubinski”, Chișinău;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profesoară de limba și literatura română la Liceul Teoretic „M.Koțiubinski”, Chișinău;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director-adjunct/instruire, profesoară de limba și literatura română la Liceul Teoretic ”V. Lupu”, Chișinău;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profesoară de limba și literatura română, Liceul Teoretic „M.Koțiubinski” Chișinău;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profesoară de limba și literatura română, Școala medie nr.24, Chișinău; 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  <w:t>confirmarea gradului didactic superior;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  <w:t>președintele Centrului Republican de Evaluare a lucrărilor BAC;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sz w:val="21"/>
                <w:szCs w:val="21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1"/>
                <w:szCs w:val="21"/>
                <w:lang w:val="zh-CN" w:eastAsia="ru-RU"/>
              </w:rPr>
              <w:t>participare în proiectul municipal „Educațieonline.md”;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sz w:val="21"/>
                <w:szCs w:val="21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1"/>
                <w:szCs w:val="21"/>
                <w:lang w:val="zh-CN" w:eastAsia="ru-RU"/>
              </w:rPr>
              <w:t>participare în proiectul municipal Biblioteca</w:t>
            </w:r>
            <w:r>
              <w:rPr>
                <w:rFonts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digitală </w:t>
            </w:r>
            <w:r>
              <w:rPr>
                <w:rFonts w:ascii="Times New Roman" w:hAnsi="Times New Roman" w:eastAsia="Calibri" w:cs="Times New Roman"/>
                <w:iCs/>
                <w:sz w:val="21"/>
                <w:szCs w:val="21"/>
                <w:lang w:val="zh-CN" w:eastAsia="ru-RU"/>
              </w:rPr>
              <w:t>„Educațieonline”;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  <w:t xml:space="preserve">prezentarea sesiunii 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eastAsia="ru-RU"/>
              </w:rPr>
              <w:t>Materiale didactice elaborate în perioada de pandemie</w:t>
            </w:r>
            <w:r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  <w:t xml:space="preserve"> în cadrul 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eastAsia="ru-RU"/>
              </w:rPr>
              <w:t>Școlii de toamnă pentru profesori</w:t>
            </w:r>
            <w:r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  <w:t xml:space="preserve">; 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  <w:t xml:space="preserve">publicarea articolului 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val="ru-RU" w:eastAsia="ru-RU"/>
              </w:rPr>
              <w:t>Из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val="en-US" w:eastAsia="ru-RU"/>
              </w:rPr>
              <w:t xml:space="preserve"> опыта изучения и внедрения 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eastAsia="ru-RU"/>
              </w:rPr>
              <w:t xml:space="preserve">STEM 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val="en-US" w:eastAsia="ru-RU"/>
              </w:rPr>
              <w:t>и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eastAsia="ru-RU"/>
              </w:rPr>
              <w:t xml:space="preserve"> STEAM,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revista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>, nr.2, 2011</w:t>
            </w:r>
            <w:r>
              <w:rPr>
                <w:rFonts w:hint="default" w:ascii="Times New Roman" w:hAnsi="Times New Roman" w:eastAsia="Calibri" w:cs="Times New Roman"/>
                <w:i/>
                <w:iCs w:val="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iCs/>
                <w:sz w:val="21"/>
                <w:szCs w:val="21"/>
                <w:lang w:eastAsia="ru-RU"/>
              </w:rPr>
              <w:t>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>publicarea ar</w:t>
            </w:r>
            <w:r>
              <w:rPr>
                <w:rFonts w:hint="default" w:ascii="Times New Roman" w:hAnsi="Times New Roman" w:eastAsia="Calibri" w:cs="Times New Roman"/>
                <w:iCs/>
                <w:color w:val="auto"/>
                <w:sz w:val="21"/>
                <w:szCs w:val="21"/>
                <w:lang w:eastAsia="ru-RU"/>
              </w:rPr>
              <w:t>t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 xml:space="preserve">icolului </w:t>
            </w:r>
            <w:r>
              <w:rPr>
                <w:rFonts w:ascii="Times New Roman" w:hAnsi="Times New Roman" w:eastAsia="Calibri" w:cs="Times New Roman"/>
                <w:i/>
                <w:iCs/>
                <w:color w:val="auto"/>
                <w:sz w:val="21"/>
                <w:szCs w:val="21"/>
                <w:lang w:val="zh-CN" w:eastAsia="ru-RU"/>
              </w:rPr>
              <w:t>Strategii de efi</w:t>
            </w:r>
            <w:r>
              <w:rPr>
                <w:rFonts w:hint="default" w:ascii="Times New Roman" w:hAnsi="Times New Roman" w:eastAsia="Calibri" w:cs="Times New Roman"/>
                <w:i/>
                <w:iCs/>
                <w:color w:val="auto"/>
                <w:sz w:val="21"/>
                <w:szCs w:val="21"/>
                <w:lang w:eastAsia="ru-RU"/>
              </w:rPr>
              <w:t>ci</w:t>
            </w:r>
            <w:r>
              <w:rPr>
                <w:rFonts w:ascii="Times New Roman" w:hAnsi="Times New Roman" w:eastAsia="Calibri" w:cs="Times New Roman"/>
                <w:i/>
                <w:iCs/>
                <w:color w:val="auto"/>
                <w:sz w:val="21"/>
                <w:szCs w:val="21"/>
                <w:lang w:val="zh-CN" w:eastAsia="ru-RU"/>
              </w:rPr>
              <w:t>en</w:t>
            </w:r>
            <w:r>
              <w:rPr>
                <w:rFonts w:hint="default" w:ascii="Times New Roman" w:hAnsi="Times New Roman" w:eastAsia="Calibri" w:cs="Times New Roman"/>
                <w:i/>
                <w:iCs/>
                <w:color w:val="auto"/>
                <w:sz w:val="21"/>
                <w:szCs w:val="21"/>
                <w:lang w:eastAsia="ru-RU"/>
              </w:rPr>
              <w:t>t</w:t>
            </w:r>
            <w:r>
              <w:rPr>
                <w:rFonts w:ascii="Times New Roman" w:hAnsi="Times New Roman" w:eastAsia="Calibri" w:cs="Times New Roman"/>
                <w:i/>
                <w:iCs/>
                <w:color w:val="auto"/>
                <w:sz w:val="21"/>
                <w:szCs w:val="21"/>
                <w:lang w:val="zh-CN" w:eastAsia="ru-RU"/>
              </w:rPr>
              <w:t xml:space="preserve">izare a comunicării manageriale în instituția de învățământ  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 xml:space="preserve">în Materialele conferinței republicane a cadrelor didactice, US Tiraspol, </w:t>
            </w:r>
            <w:r>
              <w:rPr>
                <w:rFonts w:ascii="Cambria" w:hAnsi="Cambria" w:eastAsia="Times New Roman" w:cs="Cambria"/>
                <w:color w:val="auto"/>
                <w:sz w:val="21"/>
                <w:szCs w:val="21"/>
                <w:lang w:val="zh-CN" w:eastAsia="en-US"/>
              </w:rPr>
              <w:t>ediția a III-a, 28-29 februarie 2020, volumul V;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>publicarea ar</w:t>
            </w:r>
            <w:r>
              <w:rPr>
                <w:rFonts w:hint="default" w:ascii="Times New Roman" w:hAnsi="Times New Roman" w:eastAsia="Calibri" w:cs="Times New Roman"/>
                <w:iCs/>
                <w:color w:val="auto"/>
                <w:sz w:val="21"/>
                <w:szCs w:val="21"/>
                <w:lang w:eastAsia="ru-RU"/>
              </w:rPr>
              <w:t>t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 xml:space="preserve">icolului </w:t>
            </w:r>
            <w:r>
              <w:rPr>
                <w:rFonts w:ascii="Cambria" w:hAnsi="Cambria" w:eastAsia="Times New Roman" w:cs="Cambria"/>
                <w:i/>
                <w:iCs/>
                <w:color w:val="auto"/>
                <w:sz w:val="21"/>
                <w:szCs w:val="21"/>
                <w:lang w:val="zh-CN" w:eastAsia="en-US"/>
              </w:rPr>
              <w:t xml:space="preserve">Формирование читательской грамотности: проблемы и пути их решения при изучении физики в гимназии </w:t>
            </w:r>
            <w:r>
              <w:rPr>
                <w:rFonts w:ascii="Cambria" w:hAnsi="Cambria" w:eastAsia="Times New Roman" w:cs="Cambria"/>
                <w:iCs/>
                <w:color w:val="auto"/>
                <w:sz w:val="21"/>
                <w:szCs w:val="21"/>
                <w:lang w:val="zh-CN" w:eastAsia="en-US"/>
              </w:rPr>
              <w:t>î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 xml:space="preserve">n Materialele conferinței republicane a cadrelor didactice, US Tiraspol, </w:t>
            </w:r>
            <w:r>
              <w:rPr>
                <w:rFonts w:ascii="Cambria" w:hAnsi="Cambria" w:eastAsia="Times New Roman" w:cs="Cambria"/>
                <w:color w:val="auto"/>
                <w:sz w:val="21"/>
                <w:szCs w:val="21"/>
                <w:lang w:val="zh-CN" w:eastAsia="en-US"/>
              </w:rPr>
              <w:t>ediția a III-a, 28-29 februarie 2020, volumul IV;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Cambria" w:hAnsi="Cambria" w:eastAsia="Times New Roman" w:cs="Cambria"/>
                <w:color w:val="auto"/>
                <w:sz w:val="21"/>
                <w:szCs w:val="21"/>
                <w:lang w:val="zh-CN" w:eastAsia="en-US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>publicarea ar</w:t>
            </w:r>
            <w:r>
              <w:rPr>
                <w:rFonts w:hint="default" w:ascii="Times New Roman" w:hAnsi="Times New Roman" w:eastAsia="Calibri" w:cs="Times New Roman"/>
                <w:iCs/>
                <w:color w:val="auto"/>
                <w:sz w:val="21"/>
                <w:szCs w:val="21"/>
                <w:lang w:eastAsia="ru-RU"/>
              </w:rPr>
              <w:t>t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 xml:space="preserve">icolului </w:t>
            </w:r>
            <w:r>
              <w:rPr>
                <w:rFonts w:ascii="Times New Roman" w:hAnsi="Times New Roman" w:eastAsia="Calibri" w:cs="Times New Roman"/>
                <w:i/>
                <w:iCs/>
                <w:color w:val="auto"/>
                <w:sz w:val="21"/>
                <w:szCs w:val="21"/>
                <w:lang w:val="zh-CN" w:eastAsia="ru-RU"/>
              </w:rPr>
              <w:t xml:space="preserve">Formarea gândirii creatoare a elevilor în scopul realizării lor ca subiect 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1"/>
                <w:szCs w:val="21"/>
                <w:lang w:val="zh-CN" w:eastAsia="ru-RU"/>
              </w:rPr>
              <w:t xml:space="preserve">în Materialele conferinței republicane a cadrelor didactice, US Tiraspol, </w:t>
            </w:r>
            <w:r>
              <w:rPr>
                <w:rFonts w:ascii="Cambria" w:hAnsi="Cambria" w:eastAsia="Times New Roman" w:cs="Cambria"/>
                <w:color w:val="auto"/>
                <w:sz w:val="21"/>
                <w:szCs w:val="21"/>
                <w:lang w:val="zh-CN" w:eastAsia="en-US"/>
              </w:rPr>
              <w:t>ediția a I-a, 10-11 martie 2018, volumul III;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publicarea proiectului de oră la limba și literatura română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>Busuioc la naștere de V. Romanciuc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, revista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>, nr.1, 2018;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publicarea asambleei la limba și literatura română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 xml:space="preserve">De la cunoscut, prin descoperire, spre succes,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revista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>, nr.1, 2018;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>publicarea articolului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 xml:space="preserve"> Liceul teoretic „M. Koțiubinski”-ieri, azi, mâine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, revista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>, nr.1, 2018;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publicarea articolului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1"/>
                <w:szCs w:val="21"/>
                <w:lang w:eastAsia="ru-RU"/>
              </w:rPr>
              <w:t>Studierea limbii materne-imperativ al tuturor timpurilo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 xml:space="preserve">r, ziarul Univers pedagogic pro, nr.36, 2018; 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membră a Comisiei Republicane  de Evaluare a lucrărilor de bacalaureat;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membră a Comisiei de verificare a lucrărilor l a Olimpi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o-RO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da Republicană;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membră a juriului la olimpiada de sector  şi municipală la limba şi literatura română;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rPr>
                <w:rFonts w:ascii="Times New Roman" w:hAnsi="Times New Roman" w:eastAsia="Calibri" w:cs="Times New Roman"/>
                <w:sz w:val="21"/>
                <w:szCs w:val="21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zh-CN" w:eastAsia="ru-RU"/>
              </w:rPr>
              <w:t>vice-preşedinte la ol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 w:eastAsia="ru-RU"/>
              </w:rPr>
              <w:t>i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zh-CN" w:eastAsia="ru-RU"/>
              </w:rPr>
              <w:t>mpiada la limba şi literatura română (etapa de sector), sectorul Centru;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rPr>
                <w:rFonts w:ascii="Times New Roman" w:hAnsi="Times New Roman" w:eastAsia="Calibri" w:cs="Times New Roman"/>
                <w:sz w:val="21"/>
                <w:szCs w:val="21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zh-CN" w:eastAsia="ru-RU"/>
              </w:rPr>
              <w:t>membră a Comisiei municipale de coordonare a ol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en-US" w:eastAsia="ru-RU"/>
              </w:rPr>
              <w:t>i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zh-CN" w:eastAsia="ru-RU"/>
              </w:rPr>
              <w:t>mpiadei la limba şi literatura română (etapa de sector);</w:t>
            </w:r>
          </w:p>
          <w:p>
            <w:pPr>
              <w:spacing w:after="0" w:line="240" w:lineRule="auto"/>
              <w:ind w:left="-34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>membră a Comisiei Republicane de examinare a contestațiilor BAC;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eastAsia="ru-RU"/>
              </w:rPr>
              <w:t xml:space="preserve">publicarea articolului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color w:val="auto"/>
                <w:sz w:val="21"/>
                <w:szCs w:val="21"/>
                <w:lang w:eastAsia="ru-RU"/>
              </w:rPr>
              <w:t>A educa un OM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eastAsia="ru-RU"/>
              </w:rPr>
              <w:t>, ziarul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color w:val="auto"/>
                <w:sz w:val="21"/>
                <w:szCs w:val="21"/>
                <w:lang w:val="en-US" w:eastAsia="ru-RU"/>
              </w:rPr>
              <w:t>Русское слово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eastAsia="ru-RU"/>
              </w:rPr>
              <w:t>, nr.14, 2017;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eastAsia="ru-RU"/>
              </w:rPr>
              <w:t xml:space="preserve">publicarea articolului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color w:val="auto"/>
                <w:sz w:val="21"/>
                <w:szCs w:val="21"/>
                <w:lang w:eastAsia="ru-RU"/>
              </w:rPr>
              <w:t>Monitorizarea cercetării în instituția de învățământ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eastAsia="ru-RU"/>
              </w:rPr>
              <w:t xml:space="preserve">, revista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color w:val="auto"/>
                <w:sz w:val="21"/>
                <w:szCs w:val="21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color w:val="auto"/>
                <w:sz w:val="21"/>
                <w:szCs w:val="21"/>
                <w:lang w:eastAsia="ru-RU"/>
              </w:rPr>
              <w:t xml:space="preserve">, nr. 5, 2016.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  <w:t>Studii, cursuri de specialitate şi stagii de formare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  <w:t>2021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zh-CN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  <w:t>2016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Cursuri de formare continuă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la specialitatea Management educațional, UPS ”Ion Creangă”,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Cursuri de formare continuă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la specialitatea Limba și literatura română, USPEE ”Constantin Stere”,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Programul Național de Alfabetizare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a cadrelor didactice din învățământul general,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Forumul municipal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al cadrelor didactice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Educația astăzi-între viziune și acțiune.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Sesiunea de formare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în cadrul proiectului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Competențe digitale aplicate în metode inovative de predare-învățare.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Conferința internațională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Educație online.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Atelierul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Dezvoltarea competențelor de comunicare orală prin intermediul instrumentelor digitale web 2.0.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Programul de formare profesională continuă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la modulul de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”Implementare a Curriculumului la disciplina Limba și literatura română, școala alolingvă, ediția 2019”,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Trainingul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Captarea atenției și actualizarea cunoștințelor. Tehnici de lucru.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1"/>
                <w:szCs w:val="21"/>
                <w:lang w:val="zh-CN" w:eastAsia="ru-RU"/>
              </w:rPr>
              <w:t>Seminarul municipal de formare</w:t>
            </w:r>
            <w:r>
              <w:rPr>
                <w:rFonts w:hint="default" w:ascii="Times New Roman" w:hAnsi="Times New Roman" w:eastAsia="Times New Roman" w:cs="Times New Roman"/>
                <w:iCs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”Aspecte manageriale privind implementarea politicilor educaționale la nivel de unitate școlară”.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Modulul tematic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Evaluare criterială prin descriptori în clasa a IV-a.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Conferința științifico-practică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”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Inovații pedagogice în era digitală”.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Atelierul tematic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”Orientarea profesională a tinerilor”.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Atelierul tematic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”Mediul educațional informațional”.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en-US"/>
              </w:rPr>
              <w:t>eminarul de instruire și informare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1"/>
                <w:szCs w:val="21"/>
                <w:lang w:val="zh-CN" w:eastAsia="en-US"/>
              </w:rPr>
              <w:t>”Protecția datelor cu caracter personal în cadrul sistemelor de supraveghere video”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ru-RU"/>
              </w:rPr>
              <w:t xml:space="preserve">Atelierul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”Managementul aplicării Nomenclatorului școlar”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în cadrul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>Forumului de ide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i pedagogice „Dialoguri chișinăuiene”.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o-RO"/>
              </w:rPr>
              <w:t>Seminarul de instruire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o-R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o-RO"/>
              </w:rPr>
              <w:t>”Protecția și promovarea drepturilor oimului și egalității în Republica Moldova”.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o-RO"/>
              </w:rPr>
              <w:t xml:space="preserve">Atelierul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o-RO"/>
              </w:rPr>
              <w:t>”Reflecții privind aplicarea standardelor de competență profesională ale cadrelor manageriale din învățământul general”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o-RO"/>
              </w:rPr>
              <w:t xml:space="preserve"> în cadrul forumului de idei pedagogice ”Dialoguri chișinăuene”.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ru-RU"/>
              </w:rPr>
              <w:t>tagiul de formare continuă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în contextul Proiectului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”Reforma învățământului în Moldova”.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ru-RU"/>
              </w:rPr>
              <w:t>Masa rotundă internațională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„Managementul instituțiilor de învățământ preuniversitar-elaborarea Proiectului de dezvoltare instituțională și realizarea lui prin Planul managerial anual”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în cadrul Proiectului ”Românii de pretutindeni”.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o-RO"/>
              </w:rPr>
              <w:t>Cursuri de perfecționare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o-RO"/>
              </w:rPr>
              <w:t xml:space="preserve"> în domeniul protecției civile, nr. 010644.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o-RO"/>
              </w:rPr>
              <w:t>Calificare profesională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o-RO"/>
              </w:rPr>
              <w:t xml:space="preserve"> în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o-RO"/>
              </w:rPr>
              <w:t>domeniul securității și sănătății în muncă.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1"/>
                <w:szCs w:val="21"/>
                <w:lang w:val="zh-CN" w:eastAsia="ro-RO"/>
              </w:rPr>
              <w:t>Formare  continuă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1"/>
                <w:szCs w:val="21"/>
                <w:lang w:val="zh-CN" w:eastAsia="ro-RO"/>
              </w:rPr>
              <w:t>Management educațional UPSC ”Ion Creangă”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ru-RU"/>
              </w:rPr>
              <w:t xml:space="preserve">telierul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”Reflecții asupra constituirii imaginii instituției”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în cadrul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Forumului de idei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pedagogice „Dialoguri chișinăuiene”.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o-RO"/>
              </w:rPr>
              <w:t>Seminarul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1"/>
                <w:szCs w:val="21"/>
                <w:lang w:val="zh-CN" w:eastAsia="ro-R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o-RO"/>
              </w:rPr>
              <w:t xml:space="preserve">municipal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o-RO"/>
              </w:rPr>
              <w:t>”Managementul Planului de dezvoltare a instituției”.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688" w:type="dxa"/>
            <w:tcBorders>
              <w:right w:val="single" w:color="0070C0" w:sz="4" w:space="0"/>
            </w:tcBorders>
          </w:tcPr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1"/>
                <w:szCs w:val="21"/>
                <w:lang w:val="zh-CN" w:eastAsia="ro-RO"/>
              </w:rPr>
              <w:t xml:space="preserve">Conferința națională științifico-practică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>”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1"/>
                <w:szCs w:val="21"/>
                <w:lang w:val="zh-CN" w:eastAsia="ro-RO"/>
              </w:rPr>
              <w:t>Educația lingvistică-mijloace de promovare a dialogului intercultural și a integrării socio-profesionale”</w:t>
            </w:r>
          </w:p>
          <w:p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000000"/>
                <w:sz w:val="21"/>
                <w:szCs w:val="21"/>
                <w:lang w:val="zh-CN" w:eastAsia="ro-RO"/>
              </w:rPr>
              <w:t>Training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 xml:space="preserve"> de formare”Aprecierea elevilor în baza rezultatelor obținute la disciplina limba și literatur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val="en-US" w:eastAsia="ro-RO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 xml:space="preserve"> română,BAC. Elaborarea itemilor ce evaluează competențe  specific disciplinei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eastAsia="ro-RO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>Chișinău;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Seminarul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internațional de formare pentru directori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De la bun la excelent-formarea echipei eficiente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, Seven Hills International School Iaşi, România, World Teach, Europa, C.C.C. Fineac, Bacău, România;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zh-CN" w:eastAsia="ru-RU"/>
              </w:rPr>
              <w:t xml:space="preserve">Lecţia-meditaţie </w:t>
            </w:r>
            <w:r>
              <w:rPr>
                <w:rFonts w:hint="default" w:ascii="Times New Roman" w:hAnsi="Times New Roman" w:eastAsia="Times New Roman" w:cs="Times New Roman"/>
                <w:i/>
                <w:sz w:val="21"/>
                <w:szCs w:val="21"/>
                <w:lang w:val="zh-CN" w:eastAsia="ru-RU"/>
              </w:rPr>
              <w:t>«Современное образование в контексте глобализации»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. Центр современной педагогики «Обучение  без границ» (Монреаль, Канада). Ассоциация сравнительной педагогики РМ. № 290116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shd w:val="clear" w:color="auto" w:fill="FFFFFF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  <w:t>Performanţe profesionale</w:t>
            </w:r>
          </w:p>
        </w:tc>
        <w:tc>
          <w:tcPr>
            <w:tcW w:w="7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ind w:left="-34"/>
              <w:jc w:val="both"/>
              <w:rPr>
                <w:rFonts w:ascii="Arial Narrow" w:hAnsi="Arial Narrow" w:eastAsia="Times New Roman" w:cs="Times New Roman"/>
                <w:b/>
                <w:bCs/>
                <w:color w:val="1F497D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F497D"/>
                <w:sz w:val="20"/>
                <w:szCs w:val="20"/>
                <w:lang w:eastAsia="ru-RU"/>
              </w:rPr>
              <w:drawing>
                <wp:inline distT="0" distB="0" distL="0" distR="0">
                  <wp:extent cx="4805045" cy="71755"/>
                  <wp:effectExtent l="19050" t="0" r="0" b="0"/>
                  <wp:docPr id="9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743" cy="7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  <w:t>2022</w:t>
            </w: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  <w:t>2021</w:t>
            </w: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  <w:t>2021</w:t>
            </w: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  <w:t>2021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2011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2005</w:t>
            </w:r>
          </w:p>
        </w:tc>
        <w:tc>
          <w:tcPr>
            <w:tcW w:w="7883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 xml:space="preserve">Conferirea gradului managerial 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eastAsia="ro-RO"/>
              </w:rPr>
              <w:t>întâi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Învingătoarea concursului pentru postul de director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eastAsia="ro-RO"/>
              </w:rPr>
              <w:t>Trecerea instituției de învățământ la autogestiune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Conf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eastAsia="ro-RO"/>
              </w:rPr>
              <w:t>i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eastAsia="ro-RO"/>
              </w:rPr>
              <w:t>ma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rea gradului didactic superior, specialitatea limba și literatura română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>M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aster în Științe ale Educației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Conferirea gradului managerial doi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Învingătoarea concursului pentru postul de director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Conferirea gradului didactic superior, specialitatea limba și literatura română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Conferirea gradului didactic întâi, specialitatea limba și literatura română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zh-CN" w:eastAsia="ro-RO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onferirea gradului didactic doi, specialitatea limba şi literatura română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en-US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en-US" w:eastAsia="ro-RO"/>
              </w:rPr>
              <w:t xml:space="preserve">                    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en-US" w:eastAsia="ro-RO"/>
              </w:rPr>
            </w:pPr>
          </w:p>
        </w:tc>
        <w:tc>
          <w:tcPr>
            <w:tcW w:w="7883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left="-34"/>
              <w:jc w:val="both"/>
              <w:rPr>
                <w:rFonts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473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  <w:t>Competenţe şi aptitudini organizatorice</w:t>
            </w:r>
          </w:p>
        </w:tc>
        <w:tc>
          <w:tcPr>
            <w:tcW w:w="7667" w:type="dxa"/>
            <w:gridSpan w:val="2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972685" cy="80645"/>
                  <wp:effectExtent l="19050" t="0" r="0" b="0"/>
                  <wp:docPr id="10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215" cy="81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436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sz w:val="20"/>
                <w:szCs w:val="20"/>
                <w:lang w:eastAsia="ro-RO"/>
              </w:rPr>
              <w:t>2022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val="ro-RO" w:eastAsia="ro-RO"/>
              </w:rPr>
              <w:t>20</w:t>
            </w:r>
            <w:r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  <w:t>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2017-2019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           </w:t>
            </w:r>
          </w:p>
        </w:tc>
        <w:tc>
          <w:tcPr>
            <w:tcW w:w="7667" w:type="dxa"/>
            <w:gridSpan w:val="2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1"/>
                <w:szCs w:val="21"/>
                <w:lang w:val="zh-CN" w:eastAsia="ro-RO"/>
              </w:rPr>
              <w:t>Organizarea olimpiadei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1"/>
                <w:szCs w:val="21"/>
                <w:lang w:eastAsia="ro-RO"/>
              </w:rPr>
              <w:t xml:space="preserve"> școlare, faza sector, la limba rusă, arta plastică, informatică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zh-CN" w:eastAsia="en-US"/>
              </w:rPr>
              <w:t xml:space="preserve">Organizarea și desfășurarea master-class-ului municipal «Успешный ученик-продукт качественной командной деятельности» 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>Organizarea întâlnirii delegației din Ucraina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>Organizarea întâlnirii delegației din Germania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bCs/>
                <w:color w:val="auto"/>
                <w:sz w:val="21"/>
                <w:szCs w:val="21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1"/>
                <w:szCs w:val="21"/>
                <w:lang w:val="zh-CN" w:eastAsia="ro-RO"/>
              </w:rPr>
              <w:t>Organizarea publicării revistei ”Învățătorul modern”, ediție specială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1"/>
                <w:szCs w:val="21"/>
                <w:lang w:eastAsia="ro-RO"/>
              </w:rPr>
              <w:t>, nr.1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color w:val="auto"/>
                <w:sz w:val="21"/>
                <w:szCs w:val="21"/>
                <w:lang w:val="zh-CN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422910</wp:posOffset>
                  </wp:positionV>
                  <wp:extent cx="4949825" cy="79375"/>
                  <wp:effectExtent l="0" t="0" r="0" b="0"/>
                  <wp:wrapTight wrapText="bothSides">
                    <wp:wrapPolygon>
                      <wp:start x="0" y="0"/>
                      <wp:lineTo x="0" y="15677"/>
                      <wp:lineTo x="21448" y="15677"/>
                      <wp:lineTo x="21448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0069" cy="7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1"/>
                <w:szCs w:val="21"/>
                <w:lang w:val="zh-CN" w:eastAsia="ro-RO"/>
              </w:rPr>
              <w:t>Organizarea deschiderii olimpiadei Republicane la Limba Ucraine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1"/>
                <w:szCs w:val="21"/>
                <w:lang w:val="zh-CN" w:eastAsia="ro-RO"/>
              </w:rPr>
              <w:t>ană și desfășurarea ei.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75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en-US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667" w:type="dxa"/>
            <w:gridSpan w:val="2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Arial"/>
                <w:color w:val="000000"/>
                <w:sz w:val="20"/>
                <w:szCs w:val="20"/>
                <w:lang w:val="zh-CN" w:eastAsia="ro-RO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70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1"/>
                <w:szCs w:val="21"/>
                <w:lang w:val="en-US" w:eastAsia="ru-RU"/>
              </w:rPr>
              <w:t>Competenţe şi aptitudini de utilizare a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1F497D"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1"/>
                <w:szCs w:val="21"/>
                <w:lang w:eastAsia="ru-RU"/>
              </w:rPr>
              <w:t>calculatorului</w:t>
            </w:r>
          </w:p>
        </w:tc>
        <w:tc>
          <w:tcPr>
            <w:tcW w:w="7667" w:type="dxa"/>
            <w:gridSpan w:val="2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ind w:right="113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Internet, Microsoft Office (Word, Excel, PowerPoint), Movie Maker, aplicațiile G Suite etc.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6111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aps/>
                <w:color w:val="4F81BD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en-US" w:eastAsia="ro-RO"/>
              </w:rPr>
              <w:t xml:space="preserve">                </w:t>
            </w:r>
            <w:r>
              <w:rPr>
                <w:rFonts w:hint="default" w:ascii="Times New Roman" w:hAnsi="Times New Roman" w:eastAsia="Times New Roman" w:cs="Times New Roman"/>
                <w:b/>
                <w:caps/>
                <w:color w:val="4F81BD"/>
                <w:sz w:val="21"/>
                <w:szCs w:val="21"/>
                <w:lang w:eastAsia="ru-RU"/>
              </w:rPr>
              <w:t>Distincții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  <w:t>2021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o-RO" w:eastAsia="ro-RO"/>
              </w:rPr>
              <w:t>201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o-RO"/>
              </w:rPr>
              <w:t>7</w:t>
            </w:r>
          </w:p>
        </w:tc>
        <w:tc>
          <w:tcPr>
            <w:tcW w:w="7667" w:type="dxa"/>
            <w:gridSpan w:val="2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Diploma de onoare MEC al RMoldova pentru dedicare, devotament și perseverență în promovarea educației de calitate;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Diploma UPS “I. Creangă” pentru promovarea elevilor în cadrul olimpiadei la Limba şi literatura română;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Certificat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de gratitudine pentru contribuția cu activități interactive RED în cadrul proiectului Biblioteca digitală ”Educație online”;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Diplomă de gratitudine în semn de recunoștință și înaltă prețuire a activității educaționale îndelungate, Primarul general al municipiului Chișinău;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>Diplomă pentru aportul deosebit și transmisiunea tinerelor generații a ucrainenilor din Moldova a limbii ucrainene, organizația ucraineană Petru Movilă;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Diplomă de Onoare pentru măiestrie pedagogică și contribuție la educarea tinerei generații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  <w:t>î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n spiritual valorilor general-umane,  Președintele Republicii Moldova;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  <w:t>Diplomă pentru organizarea și desfășurarea olimpiadei republicane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ro-R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  <w:t>la limba ucraineană, ediția 29, Ambasada Ucrainei;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Diplomă de gradul II  pentru profesionalism, rezultate remarcabile în activitatea didactică și managerială, măiestrie profesională,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abnegație și perseverență în perpetuarea valorilor naționale, Guvernul RM;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FF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val="zh-CN" w:eastAsia="ru-RU"/>
              </w:rPr>
              <w:t>Diploma DGETS pentru activitate rodnică pe tărâmul învăţământului, merite deosebite în educarea tinerei generaţii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b/>
                <w:color w:val="4F81BD"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caps/>
                <w:sz w:val="21"/>
                <w:szCs w:val="21"/>
                <w:lang w:val="zh-CN" w:eastAsia="ru-RU"/>
              </w:rPr>
              <w:drawing>
                <wp:inline distT="0" distB="0" distL="0" distR="0">
                  <wp:extent cx="4400550" cy="106045"/>
                  <wp:effectExtent l="0" t="0" r="0" b="0"/>
                  <wp:docPr id="1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046" cy="106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 New Roman" w:cs="Times New Roman"/>
                <w:caps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>
      <w:pPr>
        <w:spacing w:after="0" w:line="240" w:lineRule="auto"/>
        <w:rPr>
          <w:rFonts w:hint="default" w:ascii="Times New Roman" w:hAnsi="Times New Roman" w:eastAsia="Times New Roman" w:cs="Times New Roman"/>
          <w:caps/>
          <w:sz w:val="21"/>
          <w:szCs w:val="21"/>
          <w:lang w:val="en-US"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hint="default" w:ascii="Times New Roman" w:hAnsi="Times New Roman" w:eastAsia="Times New Roman" w:cs="Times New Roman"/>
          <w:caps/>
          <w:sz w:val="21"/>
          <w:szCs w:val="21"/>
          <w:lang w:val="en-US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70C0"/>
          <w:sz w:val="21"/>
          <w:szCs w:val="21"/>
          <w:lang w:eastAsia="ro-RO"/>
        </w:rPr>
        <w:t>COMPETENΤE PERSONALE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1"/>
          <w:szCs w:val="21"/>
          <w:lang w:eastAsia="ru-RU"/>
        </w:rPr>
      </w:pPr>
    </w:p>
    <w:tbl>
      <w:tblPr>
        <w:tblStyle w:val="8"/>
        <w:tblpPr w:leftFromText="180" w:rightFromText="180" w:vertAnchor="text" w:tblpY="1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614"/>
        <w:gridCol w:w="1134"/>
        <w:gridCol w:w="425"/>
        <w:gridCol w:w="1134"/>
        <w:gridCol w:w="567"/>
        <w:gridCol w:w="140"/>
        <w:gridCol w:w="1263"/>
        <w:gridCol w:w="440"/>
        <w:gridCol w:w="960"/>
        <w:gridCol w:w="544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340" w:type="dxa"/>
          <w:trHeight w:val="96" w:hRule="atLeast"/>
        </w:trPr>
        <w:tc>
          <w:tcPr>
            <w:tcW w:w="136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>Limba maternă</w:t>
            </w:r>
          </w:p>
        </w:tc>
        <w:tc>
          <w:tcPr>
            <w:tcW w:w="4014" w:type="dxa"/>
            <w:gridSpan w:val="6"/>
          </w:tcPr>
          <w:p>
            <w:pPr>
              <w:suppressAutoHyphens/>
              <w:spacing w:after="0" w:line="240" w:lineRule="auto"/>
              <w:ind w:left="113" w:right="113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>Româna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8354" w:type="dxa"/>
          <w:trHeight w:val="282" w:hRule="atLeast"/>
        </w:trPr>
        <w:tc>
          <w:tcPr>
            <w:tcW w:w="136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>Limba(i) străină(e) cunoscută(e)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>Limba</w:t>
            </w:r>
          </w:p>
        </w:tc>
        <w:tc>
          <w:tcPr>
            <w:tcW w:w="1748" w:type="dxa"/>
            <w:gridSpan w:val="2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Ascultare</w:t>
            </w:r>
          </w:p>
        </w:tc>
        <w:tc>
          <w:tcPr>
            <w:tcW w:w="1559" w:type="dxa"/>
            <w:gridSpan w:val="2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Citire</w:t>
            </w:r>
          </w:p>
        </w:tc>
        <w:tc>
          <w:tcPr>
            <w:tcW w:w="1970" w:type="dxa"/>
            <w:gridSpan w:val="3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Participare la conversaţie</w:t>
            </w:r>
          </w:p>
        </w:tc>
        <w:tc>
          <w:tcPr>
            <w:tcW w:w="1400" w:type="dxa"/>
            <w:gridSpan w:val="2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Discurs oral</w:t>
            </w:r>
          </w:p>
        </w:tc>
        <w:tc>
          <w:tcPr>
            <w:tcW w:w="1677" w:type="dxa"/>
            <w:gridSpan w:val="2"/>
          </w:tcPr>
          <w:p>
            <w:pPr>
              <w:suppressAutoHyphens/>
              <w:spacing w:after="12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Exprimare scrisă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6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>Rusă</w:t>
            </w:r>
          </w:p>
        </w:tc>
        <w:tc>
          <w:tcPr>
            <w:tcW w:w="614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C2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Avans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eastAsia="ar-SA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t</w:t>
            </w:r>
          </w:p>
        </w:tc>
        <w:tc>
          <w:tcPr>
            <w:tcW w:w="425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C2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Avans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eastAsia="ar-SA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t</w:t>
            </w:r>
          </w:p>
        </w:tc>
        <w:tc>
          <w:tcPr>
            <w:tcW w:w="567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C1</w:t>
            </w:r>
          </w:p>
        </w:tc>
        <w:tc>
          <w:tcPr>
            <w:tcW w:w="1403" w:type="dxa"/>
            <w:gridSpan w:val="2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Avans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eastAsia="ar-SA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t</w:t>
            </w:r>
          </w:p>
        </w:tc>
        <w:tc>
          <w:tcPr>
            <w:tcW w:w="440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C1</w:t>
            </w:r>
          </w:p>
        </w:tc>
        <w:tc>
          <w:tcPr>
            <w:tcW w:w="960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Avansat</w:t>
            </w:r>
          </w:p>
        </w:tc>
        <w:tc>
          <w:tcPr>
            <w:tcW w:w="544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1"/>
                <w:szCs w:val="21"/>
                <w:lang w:val="zh-CN" w:eastAsia="ar-SA"/>
              </w:rPr>
              <w:t>C1</w:t>
            </w:r>
          </w:p>
        </w:tc>
        <w:tc>
          <w:tcPr>
            <w:tcW w:w="1133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>Avansat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36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 xml:space="preserve">Franceză </w:t>
            </w:r>
          </w:p>
        </w:tc>
        <w:tc>
          <w:tcPr>
            <w:tcW w:w="6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B2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independent </w:t>
            </w:r>
          </w:p>
        </w:tc>
        <w:tc>
          <w:tcPr>
            <w:tcW w:w="42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B2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independent </w:t>
            </w:r>
          </w:p>
        </w:tc>
        <w:tc>
          <w:tcPr>
            <w:tcW w:w="56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A1 </w:t>
            </w:r>
          </w:p>
        </w:tc>
        <w:tc>
          <w:tcPr>
            <w:tcW w:w="1403" w:type="dxa"/>
            <w:gridSpan w:val="2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elementar </w:t>
            </w:r>
          </w:p>
        </w:tc>
        <w:tc>
          <w:tcPr>
            <w:tcW w:w="44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A1 </w:t>
            </w:r>
          </w:p>
        </w:tc>
        <w:tc>
          <w:tcPr>
            <w:tcW w:w="960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elementar </w:t>
            </w:r>
          </w:p>
        </w:tc>
        <w:tc>
          <w:tcPr>
            <w:tcW w:w="54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A1 </w:t>
            </w:r>
          </w:p>
        </w:tc>
        <w:tc>
          <w:tcPr>
            <w:tcW w:w="1133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elementar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6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ar-SA"/>
              </w:rPr>
              <w:t xml:space="preserve"> Ucraineană </w:t>
            </w:r>
          </w:p>
        </w:tc>
        <w:tc>
          <w:tcPr>
            <w:tcW w:w="61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C2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experimentat </w:t>
            </w:r>
          </w:p>
        </w:tc>
        <w:tc>
          <w:tcPr>
            <w:tcW w:w="42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C2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experimentat </w:t>
            </w:r>
          </w:p>
        </w:tc>
        <w:tc>
          <w:tcPr>
            <w:tcW w:w="56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A1 </w:t>
            </w:r>
          </w:p>
        </w:tc>
        <w:tc>
          <w:tcPr>
            <w:tcW w:w="1403" w:type="dxa"/>
            <w:gridSpan w:val="2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elementar </w:t>
            </w:r>
          </w:p>
        </w:tc>
        <w:tc>
          <w:tcPr>
            <w:tcW w:w="44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A1 </w:t>
            </w:r>
          </w:p>
        </w:tc>
        <w:tc>
          <w:tcPr>
            <w:tcW w:w="960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elementar </w:t>
            </w:r>
          </w:p>
        </w:tc>
        <w:tc>
          <w:tcPr>
            <w:tcW w:w="54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A1 </w:t>
            </w:r>
          </w:p>
        </w:tc>
        <w:tc>
          <w:tcPr>
            <w:tcW w:w="1133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  <w:t xml:space="preserve">Utilizator elementar </w:t>
            </w:r>
          </w:p>
        </w:tc>
      </w:tr>
    </w:tbl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63"/>
        <w:gridCol w:w="7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3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2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eastAsia="ro-RO"/>
              </w:rPr>
            </w:pPr>
          </w:p>
        </w:tc>
        <w:tc>
          <w:tcPr>
            <w:tcW w:w="963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eastAsia="ro-RO"/>
              </w:rPr>
            </w:pPr>
          </w:p>
        </w:tc>
        <w:tc>
          <w:tcPr>
            <w:tcW w:w="7082" w:type="dxa"/>
          </w:tcPr>
          <w:p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color w:val="0E4194"/>
                <w:spacing w:val="-6"/>
                <w:kern w:val="2"/>
                <w:sz w:val="21"/>
                <w:szCs w:val="21"/>
                <w:lang w:eastAsia="hi-I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  <w:t>Competenţe şi abilităţi sociale</w:t>
            </w:r>
          </w:p>
        </w:tc>
        <w:tc>
          <w:tcPr>
            <w:tcW w:w="963" w:type="dxa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>Seriozitate, spirit competitiv,  punctualitate, exigență,  responsabilitate,  profesionalism,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zh-CN" w:eastAsia="ru-RU"/>
              </w:rPr>
              <w:t xml:space="preserve"> activitate în colectiv, rezistentă la stres, abilitate de a comunica cu copiii, consilierea situațiilor de conflict</w:t>
            </w:r>
          </w:p>
        </w:tc>
      </w:tr>
    </w:tbl>
    <w:tbl>
      <w:tblPr>
        <w:tblStyle w:val="8"/>
        <w:tblpPr w:leftFromText="180" w:rightFromText="180" w:vertAnchor="text" w:horzAnchor="margin" w:tblpY="17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  <w:t>Permis(e) de conducere</w:t>
            </w:r>
          </w:p>
        </w:tc>
        <w:tc>
          <w:tcPr>
            <w:tcW w:w="7089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ind w:right="113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1"/>
                <w:szCs w:val="21"/>
                <w:lang w:val="zh-CN"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  <w:t xml:space="preserve">                 Categoria 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70C0"/>
                <w:sz w:val="21"/>
                <w:szCs w:val="21"/>
                <w:lang w:val="zh-CN" w:eastAsia="ro-RO"/>
              </w:rPr>
            </w:pPr>
          </w:p>
        </w:tc>
        <w:tc>
          <w:tcPr>
            <w:tcW w:w="7089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ind w:right="113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zh-CN" w:eastAsia="ro-RO"/>
              </w:rPr>
            </w:pPr>
          </w:p>
          <w:p>
            <w:pPr>
              <w:spacing w:after="0" w:line="240" w:lineRule="auto"/>
              <w:ind w:right="113"/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1"/>
                <w:szCs w:val="21"/>
                <w:lang w:eastAsia="ro-RO"/>
              </w:rPr>
              <w:t>02.11.2022                                                      Vărzaru Galina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b/>
          <w:bCs/>
          <w:color w:val="000000"/>
          <w:sz w:val="21"/>
          <w:szCs w:val="21"/>
          <w:lang w:eastAsia="ro-RO"/>
        </w:rPr>
      </w:pPr>
    </w:p>
    <w:p>
      <w:pPr>
        <w:rPr>
          <w:rFonts w:hint="default" w:ascii="Times New Roman" w:hAnsi="Times New Roman" w:eastAsia="Times New Roman" w:cs="Times New Roman"/>
          <w:b/>
          <w:bCs/>
          <w:color w:val="000000"/>
          <w:sz w:val="21"/>
          <w:szCs w:val="21"/>
          <w:lang w:val="zh-CN" w:eastAsia="ro-RO"/>
        </w:rPr>
      </w:pPr>
    </w:p>
    <w:p>
      <w:pPr>
        <w:rPr>
          <w:rFonts w:hint="default" w:ascii="Times New Roman" w:hAnsi="Times New Roman" w:eastAsia="Times New Roman" w:cs="Times New Roman"/>
          <w:b/>
          <w:bCs/>
          <w:color w:val="000000"/>
          <w:sz w:val="21"/>
          <w:szCs w:val="21"/>
          <w:lang w:val="zh-CN" w:eastAsia="ro-RO"/>
        </w:rPr>
      </w:pPr>
    </w:p>
    <w:p>
      <w:pPr>
        <w:rPr>
          <w:rFonts w:hint="default" w:ascii="Times New Roman" w:hAnsi="Times New Roman" w:eastAsia="Times New Roman" w:cs="Times New Roman"/>
          <w:b/>
          <w:bCs/>
          <w:color w:val="000000"/>
          <w:sz w:val="21"/>
          <w:szCs w:val="21"/>
          <w:lang w:val="zh-CN" w:eastAsia="ro-RO"/>
        </w:rPr>
      </w:pPr>
    </w:p>
    <w:p>
      <w:pPr>
        <w:rPr>
          <w:rFonts w:hint="default" w:ascii="Times New Roman" w:hAnsi="Times New Roman" w:eastAsia="Times New Roman" w:cs="Times New Roman"/>
          <w:b/>
          <w:bCs/>
          <w:color w:val="000000"/>
          <w:sz w:val="21"/>
          <w:szCs w:val="21"/>
          <w:lang w:val="zh-CN" w:eastAsia="ro-RO"/>
        </w:rPr>
        <w:sectPr>
          <w:headerReference r:id="rId5" w:type="default"/>
          <w:footerReference r:id="rId6" w:type="default"/>
          <w:pgSz w:w="11906" w:h="16838"/>
          <w:pgMar w:top="1134" w:right="850" w:bottom="720" w:left="1701" w:header="708" w:footer="708" w:gutter="0"/>
          <w:cols w:space="708" w:num="1"/>
          <w:docGrid w:linePitch="360" w:charSpace="0"/>
        </w:sectPr>
      </w:pPr>
    </w:p>
    <w:p>
      <w:pPr>
        <w:rPr>
          <w:rFonts w:hint="default" w:ascii="Times New Roman" w:hAnsi="Times New Roman" w:eastAsia="Times New Roman" w:cs="Times New Roman"/>
          <w:b/>
          <w:bCs/>
          <w:color w:val="000000"/>
          <w:sz w:val="21"/>
          <w:szCs w:val="21"/>
          <w:lang w:val="zh-CN" w:eastAsia="ro-RO"/>
        </w:rPr>
      </w:pPr>
    </w:p>
    <w:p>
      <w:pPr>
        <w:rPr>
          <w:rFonts w:hint="default" w:ascii="Arial Narrow" w:hAnsi="Arial Narrow" w:eastAsia="Times New Roman" w:cs="Times New Roman"/>
          <w:b/>
          <w:bCs/>
          <w:color w:val="000000"/>
          <w:sz w:val="23"/>
          <w:szCs w:val="23"/>
          <w:lang w:eastAsia="ro-RO"/>
        </w:rPr>
      </w:pPr>
    </w:p>
    <w:sectPr>
      <w:footerReference r:id="rId7" w:type="default"/>
      <w:pgSz w:w="11906" w:h="16838"/>
      <w:pgMar w:top="1134" w:right="850" w:bottom="72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2835"/>
        <w:tab w:val="right" w:pos="10375"/>
      </w:tabs>
      <w:autoSpaceDE w:val="0"/>
      <w:rPr>
        <w:lang w:val="en-US"/>
      </w:rPr>
    </w:pP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 Vărzaru Galina Curriculum Vitae 202</w:t>
    </w:r>
    <w:r>
      <w:rPr>
        <w:rFonts w:hint="default" w:ascii="ArialMT" w:hAnsi="ArialMT" w:eastAsia="ArialMT" w:cs="ArialMT"/>
        <w:color w:val="1593CB"/>
        <w:sz w:val="14"/>
        <w:szCs w:val="14"/>
        <w:lang/>
      </w:rPr>
      <w:t>2</w:t>
    </w: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 europass   </w:t>
    </w:r>
    <w:r>
      <w:rPr>
        <w:rFonts w:ascii="ArialMT" w:hAnsi="ArialMT" w:eastAsia="ArialMT" w:cs="ArialMT"/>
        <w:color w:val="1593CB"/>
        <w:sz w:val="14"/>
        <w:szCs w:val="14"/>
        <w:lang w:val="en-US"/>
      </w:rPr>
      <w:tab/>
    </w: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Pagina </w:t>
    </w:r>
    <w:r>
      <w:rPr>
        <w:rFonts w:eastAsia="ArialMT" w:cs="ArialMT"/>
        <w:color w:val="1593CB"/>
        <w:sz w:val="14"/>
        <w:szCs w:val="14"/>
      </w:rPr>
      <w:fldChar w:fldCharType="begin"/>
    </w:r>
    <w:r>
      <w:rPr>
        <w:rFonts w:eastAsia="ArialMT" w:cs="ArialMT"/>
        <w:color w:val="1593CB"/>
        <w:sz w:val="14"/>
        <w:szCs w:val="14"/>
        <w:lang w:val="en-US"/>
      </w:rPr>
      <w:instrText xml:space="preserve"> PAGE </w:instrText>
    </w:r>
    <w:r>
      <w:rPr>
        <w:rFonts w:eastAsia="ArialMT" w:cs="ArialMT"/>
        <w:color w:val="1593CB"/>
        <w:sz w:val="14"/>
        <w:szCs w:val="14"/>
      </w:rPr>
      <w:fldChar w:fldCharType="separate"/>
    </w:r>
    <w:r>
      <w:rPr>
        <w:rFonts w:eastAsia="ArialMT" w:cs="ArialMT"/>
        <w:color w:val="1593CB"/>
        <w:sz w:val="14"/>
        <w:szCs w:val="14"/>
        <w:lang w:val="en-US"/>
      </w:rPr>
      <w:t>5</w:t>
    </w:r>
    <w:r>
      <w:rPr>
        <w:rFonts w:eastAsia="ArialMT" w:cs="ArialMT"/>
        <w:color w:val="1593CB"/>
        <w:sz w:val="14"/>
        <w:szCs w:val="14"/>
      </w:rPr>
      <w:fldChar w:fldCharType="end"/>
    </w: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 / </w:t>
    </w:r>
    <w:r>
      <w:rPr>
        <w:rFonts w:hint="default" w:ascii="ArialMT" w:eastAsia="ArialMT" w:cs="ArialMT"/>
        <w:color w:val="1593CB"/>
        <w:sz w:val="14"/>
        <w:szCs w:val="14"/>
        <w:lang/>
      </w:rPr>
      <w:t>4</w:t>
    </w: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2835"/>
        <w:tab w:val="right" w:pos="10375"/>
      </w:tabs>
      <w:autoSpaceDE w:val="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before="3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E5"/>
    <w:rsid w:val="000122C8"/>
    <w:rsid w:val="0003620C"/>
    <w:rsid w:val="000952CF"/>
    <w:rsid w:val="00096C74"/>
    <w:rsid w:val="000A2F5A"/>
    <w:rsid w:val="000A7CC1"/>
    <w:rsid w:val="000B5447"/>
    <w:rsid w:val="000D080A"/>
    <w:rsid w:val="000E2C2A"/>
    <w:rsid w:val="00125F06"/>
    <w:rsid w:val="00150DD0"/>
    <w:rsid w:val="001608C5"/>
    <w:rsid w:val="00165071"/>
    <w:rsid w:val="00173607"/>
    <w:rsid w:val="001C2638"/>
    <w:rsid w:val="00201FA3"/>
    <w:rsid w:val="00214D5B"/>
    <w:rsid w:val="00227AEB"/>
    <w:rsid w:val="002643BF"/>
    <w:rsid w:val="00266055"/>
    <w:rsid w:val="00273D22"/>
    <w:rsid w:val="002A7F4B"/>
    <w:rsid w:val="002B5379"/>
    <w:rsid w:val="002B6538"/>
    <w:rsid w:val="002C7172"/>
    <w:rsid w:val="002D61C4"/>
    <w:rsid w:val="002E0227"/>
    <w:rsid w:val="002F24F4"/>
    <w:rsid w:val="003006B2"/>
    <w:rsid w:val="00346456"/>
    <w:rsid w:val="0039636D"/>
    <w:rsid w:val="003C0360"/>
    <w:rsid w:val="003F203E"/>
    <w:rsid w:val="00424861"/>
    <w:rsid w:val="00435513"/>
    <w:rsid w:val="004808BB"/>
    <w:rsid w:val="004C0F7F"/>
    <w:rsid w:val="004C6AFD"/>
    <w:rsid w:val="004E5886"/>
    <w:rsid w:val="005559E5"/>
    <w:rsid w:val="00570F09"/>
    <w:rsid w:val="005A0DF3"/>
    <w:rsid w:val="005B5961"/>
    <w:rsid w:val="0060282D"/>
    <w:rsid w:val="006072B4"/>
    <w:rsid w:val="006334AB"/>
    <w:rsid w:val="006351C2"/>
    <w:rsid w:val="00666524"/>
    <w:rsid w:val="00672065"/>
    <w:rsid w:val="006A259B"/>
    <w:rsid w:val="006A4AAF"/>
    <w:rsid w:val="006E0853"/>
    <w:rsid w:val="007069D6"/>
    <w:rsid w:val="00711699"/>
    <w:rsid w:val="00735FC5"/>
    <w:rsid w:val="007D4DFA"/>
    <w:rsid w:val="007F3DDA"/>
    <w:rsid w:val="007F77B2"/>
    <w:rsid w:val="0081697C"/>
    <w:rsid w:val="00824C6F"/>
    <w:rsid w:val="00832D0E"/>
    <w:rsid w:val="00843430"/>
    <w:rsid w:val="0086316F"/>
    <w:rsid w:val="0087366C"/>
    <w:rsid w:val="00874B1B"/>
    <w:rsid w:val="00876D29"/>
    <w:rsid w:val="008B7081"/>
    <w:rsid w:val="00917989"/>
    <w:rsid w:val="00923F37"/>
    <w:rsid w:val="00937803"/>
    <w:rsid w:val="00941114"/>
    <w:rsid w:val="009C0D05"/>
    <w:rsid w:val="009E0CB0"/>
    <w:rsid w:val="009E6E1A"/>
    <w:rsid w:val="00A117FE"/>
    <w:rsid w:val="00A5024A"/>
    <w:rsid w:val="00A605E6"/>
    <w:rsid w:val="00A614A0"/>
    <w:rsid w:val="00A84454"/>
    <w:rsid w:val="00AF0503"/>
    <w:rsid w:val="00AF0D6A"/>
    <w:rsid w:val="00AF3B07"/>
    <w:rsid w:val="00AF57BA"/>
    <w:rsid w:val="00B0659F"/>
    <w:rsid w:val="00B432D8"/>
    <w:rsid w:val="00B83BDB"/>
    <w:rsid w:val="00BA05C0"/>
    <w:rsid w:val="00BA4A54"/>
    <w:rsid w:val="00BB55E3"/>
    <w:rsid w:val="00BC69A8"/>
    <w:rsid w:val="00BF55B0"/>
    <w:rsid w:val="00C030F5"/>
    <w:rsid w:val="00C31CEA"/>
    <w:rsid w:val="00C36D92"/>
    <w:rsid w:val="00C41AE6"/>
    <w:rsid w:val="00C60AAB"/>
    <w:rsid w:val="00C84EF2"/>
    <w:rsid w:val="00C86307"/>
    <w:rsid w:val="00C97F71"/>
    <w:rsid w:val="00CB463F"/>
    <w:rsid w:val="00CB73C7"/>
    <w:rsid w:val="00CF5EDD"/>
    <w:rsid w:val="00D0664F"/>
    <w:rsid w:val="00D56954"/>
    <w:rsid w:val="00D96769"/>
    <w:rsid w:val="00DA6B44"/>
    <w:rsid w:val="00DA7A0B"/>
    <w:rsid w:val="00DB0282"/>
    <w:rsid w:val="00DD4E4F"/>
    <w:rsid w:val="00DD6C78"/>
    <w:rsid w:val="00DE724F"/>
    <w:rsid w:val="00DF0BF9"/>
    <w:rsid w:val="00DF3A7B"/>
    <w:rsid w:val="00DF42BC"/>
    <w:rsid w:val="00E06058"/>
    <w:rsid w:val="00E175EB"/>
    <w:rsid w:val="00E267DF"/>
    <w:rsid w:val="00E55F12"/>
    <w:rsid w:val="00E63051"/>
    <w:rsid w:val="00EC2192"/>
    <w:rsid w:val="00EC287E"/>
    <w:rsid w:val="00ED5A8C"/>
    <w:rsid w:val="00EE2CA8"/>
    <w:rsid w:val="00EF22DF"/>
    <w:rsid w:val="00EF550F"/>
    <w:rsid w:val="00F048FA"/>
    <w:rsid w:val="00F17BD6"/>
    <w:rsid w:val="00F277BF"/>
    <w:rsid w:val="00F3191F"/>
    <w:rsid w:val="00F5583D"/>
    <w:rsid w:val="00F77A7C"/>
    <w:rsid w:val="00FD2F55"/>
    <w:rsid w:val="00FF353F"/>
    <w:rsid w:val="0E3D203A"/>
    <w:rsid w:val="102F296E"/>
    <w:rsid w:val="113B2724"/>
    <w:rsid w:val="223E7E7A"/>
    <w:rsid w:val="27CD5EAA"/>
    <w:rsid w:val="358E7786"/>
    <w:rsid w:val="3B3401D5"/>
    <w:rsid w:val="3DCA42F8"/>
    <w:rsid w:val="42173CB4"/>
    <w:rsid w:val="480D3E4D"/>
    <w:rsid w:val="4BC03CAA"/>
    <w:rsid w:val="5DB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6"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  <w:style w:type="table" w:customStyle="1" w:styleId="11">
    <w:name w:val="Light Shading - Accent 11"/>
    <w:basedOn w:val="3"/>
    <w:qFormat/>
    <w:uiPriority w:val="60"/>
    <w:pPr>
      <w:spacing w:after="0" w:line="240" w:lineRule="auto"/>
    </w:pPr>
    <w:rPr>
      <w:rFonts w:eastAsia="Times New Roman"/>
      <w:color w:val="365F91"/>
      <w:lang w:eastAsia="ru-RU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2">
    <w:name w:val="_ECV_1stPage"/>
    <w:basedOn w:val="1"/>
    <w:qFormat/>
    <w:uiPriority w:val="0"/>
    <w:pPr>
      <w:widowControl w:val="0"/>
      <w:suppressLineNumbers/>
      <w:tabs>
        <w:tab w:val="left" w:pos="2835"/>
        <w:tab w:val="right" w:pos="10205"/>
      </w:tabs>
      <w:suppressAutoHyphens/>
      <w:spacing w:before="215" w:after="0" w:line="100" w:lineRule="atLeast"/>
    </w:pPr>
    <w:rPr>
      <w:rFonts w:ascii="Arial" w:hAnsi="Arial" w:eastAsia="SimSun" w:cs="Mangal"/>
      <w:color w:val="1593CB"/>
      <w:spacing w:val="-6"/>
      <w:kern w:val="1"/>
      <w:sz w:val="20"/>
      <w:szCs w:val="18"/>
      <w:lang w:eastAsia="hi-IN" w:bidi="hi-IN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4">
    <w:name w:val="Level Assessment - Heading 1"/>
    <w:basedOn w:val="1"/>
    <w:qFormat/>
    <w:uiPriority w:val="0"/>
    <w:pPr>
      <w:suppressAutoHyphens/>
      <w:spacing w:after="0" w:line="240" w:lineRule="auto"/>
      <w:ind w:left="57" w:right="57"/>
      <w:jc w:val="center"/>
    </w:pPr>
    <w:rPr>
      <w:rFonts w:ascii="Arial Narrow" w:hAnsi="Arial Narrow" w:eastAsia="Times New Roman" w:cs="Times New Roman"/>
      <w:b/>
      <w:szCs w:val="20"/>
      <w:lang w:val="ro-RO" w:eastAsia="ar-SA"/>
    </w:rPr>
  </w:style>
  <w:style w:type="paragraph" w:customStyle="1" w:styleId="15">
    <w:name w:val="Level Assessment - Heading 2"/>
    <w:basedOn w:val="1"/>
    <w:qFormat/>
    <w:uiPriority w:val="0"/>
    <w:pPr>
      <w:suppressAutoHyphens/>
      <w:spacing w:after="0" w:line="240" w:lineRule="auto"/>
      <w:ind w:left="57" w:right="57"/>
      <w:jc w:val="center"/>
    </w:pPr>
    <w:rPr>
      <w:rFonts w:ascii="Arial Narrow" w:hAnsi="Arial Narrow" w:eastAsia="Times New Roman" w:cs="Times New Roman"/>
      <w:sz w:val="18"/>
      <w:szCs w:val="20"/>
      <w:lang w:val="ro-RO" w:eastAsia="ar-SA"/>
    </w:rPr>
  </w:style>
  <w:style w:type="paragraph" w:customStyle="1" w:styleId="16">
    <w:name w:val="Level Assessment - Code"/>
    <w:basedOn w:val="1"/>
    <w:next w:val="17"/>
    <w:qFormat/>
    <w:uiPriority w:val="0"/>
    <w:pPr>
      <w:suppressAutoHyphens/>
      <w:spacing w:after="0" w:line="240" w:lineRule="auto"/>
      <w:ind w:left="28"/>
      <w:jc w:val="center"/>
    </w:pPr>
    <w:rPr>
      <w:rFonts w:ascii="Arial Narrow" w:hAnsi="Arial Narrow" w:eastAsia="Times New Roman" w:cs="Times New Roman"/>
      <w:sz w:val="18"/>
      <w:szCs w:val="20"/>
      <w:lang w:val="ro-RO" w:eastAsia="ar-SA"/>
    </w:rPr>
  </w:style>
  <w:style w:type="paragraph" w:customStyle="1" w:styleId="17">
    <w:name w:val="Level Assessment - Description"/>
    <w:basedOn w:val="16"/>
    <w:next w:val="16"/>
    <w:qFormat/>
    <w:uiPriority w:val="0"/>
    <w:pPr>
      <w:textAlignment w:val="bottom"/>
    </w:pPr>
  </w:style>
  <w:style w:type="paragraph" w:customStyle="1" w:styleId="18">
    <w:name w:val="CV Normal"/>
    <w:basedOn w:val="1"/>
    <w:qFormat/>
    <w:uiPriority w:val="0"/>
    <w:pPr>
      <w:suppressAutoHyphens/>
      <w:spacing w:after="0" w:line="240" w:lineRule="auto"/>
      <w:ind w:left="113" w:right="113"/>
    </w:pPr>
    <w:rPr>
      <w:rFonts w:ascii="Arial Narrow" w:hAnsi="Arial Narrow" w:eastAsia="Times New Roman" w:cs="Times New Roman"/>
      <w:sz w:val="20"/>
      <w:szCs w:val="20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0F31-2A19-48FC-A261-9DFAE03BC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1695</Words>
  <Characters>9665</Characters>
  <Lines>80</Lines>
  <Paragraphs>22</Paragraphs>
  <TotalTime>12</TotalTime>
  <ScaleCrop>false</ScaleCrop>
  <LinksUpToDate>false</LinksUpToDate>
  <CharactersWithSpaces>11338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2020-06-13T16:19:00Z</dcterms:created>
  <dc:creator>Lidia</dc:creator>
  <cp:lastModifiedBy>GALINA VĂRZARU</cp:lastModifiedBy>
  <cp:lastPrinted>2022-01-31T13:07:00Z</cp:lastPrinted>
  <dcterms:modified xsi:type="dcterms:W3CDTF">2022-11-02T16:14:33Z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4B100764C5E648CAA5E8C026D2074211</vt:lpwstr>
  </property>
</Properties>
</file>