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C3" w:rsidRPr="006B02C3" w:rsidRDefault="006B02C3" w:rsidP="006B02C3">
      <w:pPr>
        <w:shd w:val="clear" w:color="auto" w:fill="FFFFFF"/>
        <w:spacing w:after="150" w:line="240" w:lineRule="auto"/>
        <w:jc w:val="center"/>
        <w:rPr>
          <w:rFonts w:ascii="Times New Roman" w:eastAsia="Times New Roman" w:hAnsi="Times New Roman" w:cs="Times New Roman"/>
          <w:color w:val="444444"/>
          <w:sz w:val="20"/>
          <w:szCs w:val="20"/>
        </w:rPr>
      </w:pPr>
      <w:bookmarkStart w:id="0" w:name="_GoBack"/>
      <w:bookmarkEnd w:id="0"/>
      <w:r w:rsidRPr="006B02C3">
        <w:rPr>
          <w:rFonts w:ascii="Times New Roman" w:eastAsia="Times New Roman" w:hAnsi="Times New Roman" w:cs="Times New Roman"/>
          <w:b/>
          <w:bCs/>
          <w:color w:val="444444"/>
          <w:sz w:val="20"/>
          <w:szCs w:val="20"/>
        </w:rPr>
        <w:t>Procedura de depunere și analiză a sesizărilor adresate Consiliului de etică</w:t>
      </w:r>
    </w:p>
    <w:p w:rsidR="006B02C3" w:rsidRPr="006B02C3" w:rsidRDefault="006B02C3" w:rsidP="006B02C3">
      <w:pPr>
        <w:numPr>
          <w:ilvl w:val="0"/>
          <w:numId w:val="1"/>
        </w:numPr>
        <w:shd w:val="clear" w:color="auto" w:fill="FFFFFF"/>
        <w:spacing w:before="100" w:beforeAutospacing="1" w:after="100" w:afterAutospacing="1" w:line="240" w:lineRule="auto"/>
        <w:jc w:val="center"/>
        <w:rPr>
          <w:rFonts w:ascii="Times New Roman" w:eastAsia="Times New Roman" w:hAnsi="Times New Roman" w:cs="Times New Roman"/>
          <w:color w:val="444444"/>
          <w:sz w:val="20"/>
          <w:szCs w:val="20"/>
        </w:rPr>
      </w:pPr>
      <w:r w:rsidRPr="006B02C3">
        <w:rPr>
          <w:rFonts w:ascii="Times New Roman" w:eastAsia="Times New Roman" w:hAnsi="Times New Roman" w:cs="Times New Roman"/>
          <w:b/>
          <w:bCs/>
          <w:color w:val="444444"/>
          <w:sz w:val="20"/>
          <w:szCs w:val="20"/>
        </w:rPr>
        <w:t>Procedura de depunere</w:t>
      </w:r>
    </w:p>
    <w:p w:rsidR="006B02C3" w:rsidRPr="006B02C3" w:rsidRDefault="006B02C3" w:rsidP="006B02C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Orice persoană participantă/ implicată în mod direct sau indirect în activitățile din domeniul educațional, care consideră că este victima sau martorul unui comportament lipsit de etică profesională din partea unui cadru didactic (angajat al instituției, elev, părinte) are dreptul de a sesiza Consiliul de etică al instituției de învățământ general.</w:t>
      </w:r>
    </w:p>
    <w:p w:rsidR="006B02C3" w:rsidRPr="006B02C3" w:rsidRDefault="006B02C3" w:rsidP="006B02C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Sesizările care se referă la încălcarea principiilor și normelor de etică profesională de către managerul instituției de învățământ general se adresează Consiliului de etică al organului local de specialitate în domeniul învățământului.</w:t>
      </w:r>
    </w:p>
    <w:p w:rsidR="006B02C3" w:rsidRPr="006B02C3" w:rsidRDefault="006B02C3" w:rsidP="006B02C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Sesizarea este adresată managerului instituției de învățământ general/ șefului organului local de specialitate în domeniul învățământului în formă scrisă pe suport de hârtie sau în formă electronică (scanată), datată, semnată și se depune la secretariat sau prin poșta electronică a instituției. Sesizările care nu întrunesc aceste condiții, se consideră anonime, se înregistrează, dar nu se examinează.</w:t>
      </w:r>
    </w:p>
    <w:p w:rsidR="006B02C3" w:rsidRPr="006B02C3" w:rsidRDefault="006B02C3" w:rsidP="006B02C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Sesizările depuse în formă electronică (scanate), trebuie să fie semnate de autor și să conţină informaţii privind numele, prenumele, domiciliul şi adresa electronică a petiţionarului. În cazul în care sesizarea depusă electronic nu întrunește aceste condiții, aceasta se consideră anonimă, se înregistrează, dar nu se examinează.</w:t>
      </w:r>
    </w:p>
    <w:p w:rsidR="006B02C3" w:rsidRPr="006B02C3" w:rsidRDefault="006B02C3" w:rsidP="006B02C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Sesizările adresate a doua oară, care nu conţin argumente ori informaţii noi, nu se reexaminează, fapt despre care este informat în scris sau în formă electronică petiţionarul.</w:t>
      </w:r>
    </w:p>
    <w:p w:rsidR="006B02C3" w:rsidRPr="006B02C3" w:rsidRDefault="006B02C3" w:rsidP="006B02C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Fiecare sesizare primește un număr de înregistrare (din Registrul de înregistrare a sesizărilor al instituției de învățământ general, precum și cel al Consiliului de etică) comunicat persoanei care o înaintează.</w:t>
      </w:r>
    </w:p>
    <w:p w:rsidR="006B02C3" w:rsidRPr="006B02C3" w:rsidRDefault="006B02C3" w:rsidP="006B02C3">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Sesizarea trebuie să cuprindă:</w:t>
      </w:r>
    </w:p>
    <w:p w:rsidR="006B02C3" w:rsidRPr="006B02C3" w:rsidRDefault="006B02C3" w:rsidP="006B02C3">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numele, prenumele şi datele de contact ale persoanei care a formulat sesizarea;</w:t>
      </w:r>
    </w:p>
    <w:p w:rsidR="006B02C3" w:rsidRPr="006B02C3" w:rsidRDefault="006B02C3" w:rsidP="006B02C3">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descrierea faptei care constituie obiectul sesizării;</w:t>
      </w:r>
    </w:p>
    <w:p w:rsidR="006B02C3" w:rsidRPr="006B02C3" w:rsidRDefault="006B02C3" w:rsidP="006B02C3">
      <w:pPr>
        <w:numPr>
          <w:ilvl w:val="0"/>
          <w:numId w:val="11"/>
        </w:numPr>
        <w:shd w:val="clear" w:color="auto" w:fill="FFFFFF"/>
        <w:spacing w:before="100" w:beforeAutospacing="1" w:after="100" w:afterAutospacing="1" w:line="240" w:lineRule="auto"/>
        <w:ind w:left="0"/>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expunerea argumentelor care stau la baza sesizării;</w:t>
      </w:r>
    </w:p>
    <w:p w:rsidR="006B02C3" w:rsidRPr="006B02C3" w:rsidRDefault="006B02C3" w:rsidP="006B02C3">
      <w:pPr>
        <w:numPr>
          <w:ilvl w:val="0"/>
          <w:numId w:val="12"/>
        </w:numPr>
        <w:shd w:val="clear" w:color="auto" w:fill="FFFFFF"/>
        <w:spacing w:before="100" w:beforeAutospacing="1" w:after="100" w:afterAutospacing="1" w:line="240" w:lineRule="auto"/>
        <w:ind w:left="0"/>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data;</w:t>
      </w:r>
    </w:p>
    <w:p w:rsidR="006B02C3" w:rsidRPr="006B02C3" w:rsidRDefault="006B02C3" w:rsidP="006B02C3">
      <w:pPr>
        <w:numPr>
          <w:ilvl w:val="0"/>
          <w:numId w:val="13"/>
        </w:numPr>
        <w:shd w:val="clear" w:color="auto" w:fill="FFFFFF"/>
        <w:spacing w:before="100" w:beforeAutospacing="1" w:after="100" w:afterAutospacing="1" w:line="240" w:lineRule="auto"/>
        <w:ind w:left="0"/>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semnătura.</w:t>
      </w:r>
    </w:p>
    <w:p w:rsidR="006B02C3" w:rsidRPr="006B02C3" w:rsidRDefault="006B02C3" w:rsidP="006B02C3">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Sesizările care nu sunt de competența Consiliului de etică al instituției de învățământ general/ al organului local de specialitate în domeniul învățământului (încălcări contravenționale, penale) se adresează organelor sau persoanelor oficiale, de a căror competenţă nemijlocită ţine soluţionarea lor.</w:t>
      </w:r>
    </w:p>
    <w:p w:rsidR="006B02C3" w:rsidRPr="006B02C3" w:rsidRDefault="006B02C3" w:rsidP="006B02C3">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Sesizarea, în care este atacată o decizie a Consiliului de etică al instituției de învățământ general, se adresează organului ierarhic superior pentru expunerea și analiza cazului după competență (organului local de specialitate în domeniul învățământului/ Inspectoratului Școlar Național/ instanței de judecată).</w:t>
      </w:r>
    </w:p>
    <w:p w:rsidR="006B02C3" w:rsidRPr="006B02C3" w:rsidRDefault="006B02C3" w:rsidP="006B02C3">
      <w:pPr>
        <w:shd w:val="clear" w:color="auto" w:fill="FFFFFF"/>
        <w:spacing w:after="150" w:line="240" w:lineRule="auto"/>
        <w:jc w:val="center"/>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 2.</w:t>
      </w:r>
      <w:r w:rsidRPr="006B02C3">
        <w:rPr>
          <w:rFonts w:ascii="Times New Roman" w:eastAsia="Times New Roman" w:hAnsi="Times New Roman" w:cs="Times New Roman"/>
          <w:b/>
          <w:bCs/>
          <w:color w:val="444444"/>
          <w:sz w:val="20"/>
          <w:szCs w:val="20"/>
        </w:rPr>
        <w:t> Procedura de analiză a sesizărilor:</w:t>
      </w:r>
    </w:p>
    <w:p w:rsidR="006B02C3" w:rsidRPr="006B02C3" w:rsidRDefault="006B02C3" w:rsidP="006B02C3">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lastRenderedPageBreak/>
        <w:t>În cazul în care obiectul sesizării constituie o încălcare a normelor de etică de către un cadru didactic din instituție, managerul instituției înaintează, în aceiași zi, preşedintelui Consiliului de etică sesizarea înregistrată.</w:t>
      </w:r>
    </w:p>
    <w:p w:rsidR="006B02C3" w:rsidRPr="006B02C3" w:rsidRDefault="006B02C3" w:rsidP="006B02C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După primirea sesizării, preşedintele Consiliului de etică, în termen de maxim 3 zile lucrătoare de la depunerea sesizării, convoacă şedinţa membrilor Consiliului de etică pentru a decide:</w:t>
      </w:r>
    </w:p>
    <w:p w:rsidR="006B02C3" w:rsidRPr="006B02C3" w:rsidRDefault="006B02C3" w:rsidP="006B02C3">
      <w:pPr>
        <w:numPr>
          <w:ilvl w:val="0"/>
          <w:numId w:val="17"/>
        </w:numPr>
        <w:shd w:val="clear" w:color="auto" w:fill="FFFFFF"/>
        <w:spacing w:before="100" w:beforeAutospacing="1" w:after="100" w:afterAutospacing="1" w:line="240" w:lineRule="auto"/>
        <w:ind w:left="0"/>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remiterea sesizării secretarului comisiei în vederea desfăşurării anchetei de serviciu;</w:t>
      </w:r>
    </w:p>
    <w:p w:rsidR="006B02C3" w:rsidRPr="006B02C3" w:rsidRDefault="006B02C3" w:rsidP="006B02C3">
      <w:pPr>
        <w:numPr>
          <w:ilvl w:val="0"/>
          <w:numId w:val="18"/>
        </w:numPr>
        <w:shd w:val="clear" w:color="auto" w:fill="FFFFFF"/>
        <w:spacing w:before="100" w:beforeAutospacing="1" w:after="100" w:afterAutospacing="1" w:line="240" w:lineRule="auto"/>
        <w:ind w:left="0"/>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clasarea cauzei – în situaţia în care se constată că nu sunt îndeplinite condiţiile prevăzute la pct. 7 subpct. 1), 3), 4) şi 5) indicate mai sus.</w:t>
      </w:r>
    </w:p>
    <w:p w:rsidR="006B02C3" w:rsidRPr="006B02C3" w:rsidRDefault="006B02C3" w:rsidP="006B02C3">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Secretarul Consiliului de etică desfășoară ancheta de serviciu timp de 5 zile lucrătoare:</w:t>
      </w:r>
    </w:p>
    <w:p w:rsidR="006B02C3" w:rsidRPr="006B02C3" w:rsidRDefault="006B02C3" w:rsidP="006B02C3">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cercetează cazul, solicitând declarații în scris de la cadrul didactic a cărui faptă constituie obiectul sesizării, de la martori;</w:t>
      </w:r>
    </w:p>
    <w:p w:rsidR="006B02C3" w:rsidRPr="006B02C3" w:rsidRDefault="006B02C3" w:rsidP="006B02C3">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audiază martorii, administrează probe.</w:t>
      </w:r>
    </w:p>
    <w:p w:rsidR="006B02C3" w:rsidRPr="006B02C3" w:rsidRDefault="006B02C3" w:rsidP="006B02C3">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Refuzul cadrului didactic a cărui faptă constituie obiectul sesizării, de a prezenta explicații se consemnează în Raportul secretarului și nu constituie temei pentru întreruperea, încetarea desfășurării anchetei de serviciu.</w:t>
      </w:r>
    </w:p>
    <w:p w:rsidR="006B02C3" w:rsidRPr="006B02C3" w:rsidRDefault="006B02C3" w:rsidP="006B02C3">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Cercetarea faptei sesizate se finalizează cu întocmirea unui raport. Raportul secretarului Consiliului de etică se aduce la cunoștință (suport hârtie sau electronic) membrilor acestuia în termen de 3 zile lucrătoare și este supus examinării în cadrul ședinței Consiliului.</w:t>
      </w:r>
    </w:p>
    <w:p w:rsidR="006B02C3" w:rsidRPr="006B02C3" w:rsidRDefault="006B02C3" w:rsidP="006B02C3">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Membrii CE analizează raportul secretarului Consiliului de etică și aprobă sau modifică propunerile prevăzute în raport. Propunerile membrilor Consiliului de etică referitor la modalitatea de soluționare a sesizării aflate pe rol trebuie să fie fondate, folosind informații de natură legislativă, morală și deontologică.</w:t>
      </w:r>
    </w:p>
    <w:p w:rsidR="006B02C3" w:rsidRPr="006B02C3" w:rsidRDefault="006B02C3" w:rsidP="006B02C3">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Secretarul redactează procesul-verbal al ședinței care este semnat de toți membrii prezenți și asigură comunicarea deciziei Consiliului de etică managerului instituției de învățământ general.</w:t>
      </w:r>
    </w:p>
    <w:p w:rsidR="006B02C3" w:rsidRPr="006B02C3" w:rsidRDefault="006B02C3" w:rsidP="006B02C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În baza deciziei primite, managerul instituției dispune măsuri, în conformitate cu atribuțiile care îi revin.</w:t>
      </w:r>
    </w:p>
    <w:p w:rsidR="006B02C3" w:rsidRPr="006B02C3" w:rsidRDefault="006B02C3" w:rsidP="006B02C3">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Managerul asigură comunicarea rezultatului către persoana care a formulat sesizarea în termen de 3 zile lucrătoare.</w:t>
      </w:r>
    </w:p>
    <w:p w:rsidR="006B02C3" w:rsidRPr="006B02C3" w:rsidRDefault="006B02C3" w:rsidP="006B02C3">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444444"/>
          <w:sz w:val="20"/>
          <w:szCs w:val="20"/>
        </w:rPr>
      </w:pPr>
      <w:r w:rsidRPr="006B02C3">
        <w:rPr>
          <w:rFonts w:ascii="Times New Roman" w:eastAsia="Times New Roman" w:hAnsi="Times New Roman" w:cs="Times New Roman"/>
          <w:color w:val="444444"/>
          <w:sz w:val="20"/>
          <w:szCs w:val="20"/>
        </w:rPr>
        <w:t>În cazul în care autorul sesizării nu este de acord cu decizia Consiliului de etică al instituției de învățământ, poate depune cerere de contestație a deciziei către Consiliul de etică al organului local de specialitate din domeniul învățământului, iar în caz de dezacord cu decizia acestuia – către Consiliul de etică al Inspectoratului Școlar Național.</w:t>
      </w:r>
    </w:p>
    <w:p w:rsidR="00304A42" w:rsidRPr="006B02C3" w:rsidRDefault="00304A42">
      <w:pPr>
        <w:rPr>
          <w:rFonts w:ascii="Times New Roman" w:hAnsi="Times New Roman" w:cs="Times New Roman"/>
        </w:rPr>
      </w:pPr>
    </w:p>
    <w:sectPr w:rsidR="00304A42" w:rsidRPr="006B0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F048A"/>
    <w:multiLevelType w:val="multilevel"/>
    <w:tmpl w:val="AB42AB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1095A"/>
    <w:multiLevelType w:val="multilevel"/>
    <w:tmpl w:val="D95E68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1947DC"/>
    <w:multiLevelType w:val="multilevel"/>
    <w:tmpl w:val="F98E71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344918"/>
    <w:multiLevelType w:val="multilevel"/>
    <w:tmpl w:val="E67A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83C4D"/>
    <w:multiLevelType w:val="multilevel"/>
    <w:tmpl w:val="365850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9303FF"/>
    <w:multiLevelType w:val="multilevel"/>
    <w:tmpl w:val="1C706D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CC0ABB"/>
    <w:multiLevelType w:val="multilevel"/>
    <w:tmpl w:val="9F70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4B7DB3"/>
    <w:multiLevelType w:val="multilevel"/>
    <w:tmpl w:val="1BC6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40700C"/>
    <w:multiLevelType w:val="multilevel"/>
    <w:tmpl w:val="B54258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1978EB"/>
    <w:multiLevelType w:val="multilevel"/>
    <w:tmpl w:val="3A2C0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1F760A"/>
    <w:multiLevelType w:val="multilevel"/>
    <w:tmpl w:val="5D224C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A56B83"/>
    <w:multiLevelType w:val="multilevel"/>
    <w:tmpl w:val="97F4E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BB2C34"/>
    <w:multiLevelType w:val="multilevel"/>
    <w:tmpl w:val="F2EAB0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B13AC6"/>
    <w:multiLevelType w:val="multilevel"/>
    <w:tmpl w:val="001A57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523A6B"/>
    <w:multiLevelType w:val="multilevel"/>
    <w:tmpl w:val="930C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62684"/>
    <w:multiLevelType w:val="multilevel"/>
    <w:tmpl w:val="9926DC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9918A1"/>
    <w:multiLevelType w:val="multilevel"/>
    <w:tmpl w:val="1A0C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7D6028"/>
    <w:multiLevelType w:val="multilevel"/>
    <w:tmpl w:val="686C8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20522D"/>
    <w:multiLevelType w:val="multilevel"/>
    <w:tmpl w:val="88AE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C33FBB"/>
    <w:multiLevelType w:val="multilevel"/>
    <w:tmpl w:val="324E5A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DA480B"/>
    <w:multiLevelType w:val="multilevel"/>
    <w:tmpl w:val="28D628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E40709"/>
    <w:multiLevelType w:val="multilevel"/>
    <w:tmpl w:val="3646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8C20E4"/>
    <w:multiLevelType w:val="multilevel"/>
    <w:tmpl w:val="2BF82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B20CED"/>
    <w:multiLevelType w:val="multilevel"/>
    <w:tmpl w:val="218C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5D13F0"/>
    <w:multiLevelType w:val="multilevel"/>
    <w:tmpl w:val="114A84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D230E6"/>
    <w:multiLevelType w:val="multilevel"/>
    <w:tmpl w:val="5B2C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0C4A2B"/>
    <w:multiLevelType w:val="multilevel"/>
    <w:tmpl w:val="0BD6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2"/>
  </w:num>
  <w:num w:numId="3">
    <w:abstractNumId w:val="4"/>
  </w:num>
  <w:num w:numId="4">
    <w:abstractNumId w:val="8"/>
  </w:num>
  <w:num w:numId="5">
    <w:abstractNumId w:val="19"/>
  </w:num>
  <w:num w:numId="6">
    <w:abstractNumId w:val="12"/>
  </w:num>
  <w:num w:numId="7">
    <w:abstractNumId w:val="13"/>
  </w:num>
  <w:num w:numId="8">
    <w:abstractNumId w:val="15"/>
  </w:num>
  <w:num w:numId="9">
    <w:abstractNumId w:val="16"/>
  </w:num>
  <w:num w:numId="10">
    <w:abstractNumId w:val="18"/>
  </w:num>
  <w:num w:numId="11">
    <w:abstractNumId w:val="25"/>
  </w:num>
  <w:num w:numId="12">
    <w:abstractNumId w:val="26"/>
  </w:num>
  <w:num w:numId="13">
    <w:abstractNumId w:val="21"/>
  </w:num>
  <w:num w:numId="14">
    <w:abstractNumId w:val="1"/>
  </w:num>
  <w:num w:numId="15">
    <w:abstractNumId w:val="17"/>
  </w:num>
  <w:num w:numId="16">
    <w:abstractNumId w:val="9"/>
  </w:num>
  <w:num w:numId="17">
    <w:abstractNumId w:val="3"/>
  </w:num>
  <w:num w:numId="18">
    <w:abstractNumId w:val="6"/>
  </w:num>
  <w:num w:numId="19">
    <w:abstractNumId w:val="24"/>
  </w:num>
  <w:num w:numId="20">
    <w:abstractNumId w:val="14"/>
  </w:num>
  <w:num w:numId="21">
    <w:abstractNumId w:val="23"/>
  </w:num>
  <w:num w:numId="22">
    <w:abstractNumId w:val="11"/>
  </w:num>
  <w:num w:numId="23">
    <w:abstractNumId w:val="10"/>
  </w:num>
  <w:num w:numId="24">
    <w:abstractNumId w:val="5"/>
  </w:num>
  <w:num w:numId="25">
    <w:abstractNumId w:val="20"/>
  </w:num>
  <w:num w:numId="26">
    <w:abstractNumId w:val="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31"/>
    <w:rsid w:val="00304A42"/>
    <w:rsid w:val="006B02C3"/>
    <w:rsid w:val="00EC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D2620-5A8A-4C1F-9636-9EA79EED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260153">
      <w:bodyDiv w:val="1"/>
      <w:marLeft w:val="0"/>
      <w:marRight w:val="0"/>
      <w:marTop w:val="0"/>
      <w:marBottom w:val="0"/>
      <w:divBdr>
        <w:top w:val="none" w:sz="0" w:space="0" w:color="auto"/>
        <w:left w:val="none" w:sz="0" w:space="0" w:color="auto"/>
        <w:bottom w:val="none" w:sz="0" w:space="0" w:color="auto"/>
        <w:right w:val="none" w:sz="0" w:space="0" w:color="auto"/>
      </w:divBdr>
      <w:divsChild>
        <w:div w:id="580220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dc:creator>
  <cp:keywords/>
  <dc:description/>
  <cp:lastModifiedBy>engi</cp:lastModifiedBy>
  <cp:revision>2</cp:revision>
  <dcterms:created xsi:type="dcterms:W3CDTF">2017-02-03T14:55:00Z</dcterms:created>
  <dcterms:modified xsi:type="dcterms:W3CDTF">2017-02-03T14:56:00Z</dcterms:modified>
</cp:coreProperties>
</file>