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36394D">
        <w:rPr>
          <w:rFonts w:ascii="Times New Roman" w:hAnsi="Times New Roman" w:cs="Times New Roman"/>
          <w:lang w:val="ro-RO"/>
        </w:rPr>
        <w:t xml:space="preserve">            </w:t>
      </w:r>
      <w:r w:rsidR="001F2B0A">
        <w:rPr>
          <w:rFonts w:ascii="Times New Roman" w:hAnsi="Times New Roman" w:cs="Times New Roman"/>
          <w:lang w:val="ro-RO"/>
        </w:rPr>
        <w:t xml:space="preserve">                           </w:t>
      </w:r>
      <w:r w:rsidR="0036394D">
        <w:rPr>
          <w:rFonts w:ascii="Times New Roman" w:hAnsi="Times New Roman" w:cs="Times New Roman"/>
          <w:lang w:val="ro-RO"/>
        </w:rPr>
        <w:t xml:space="preserve">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12089D">
        <w:rPr>
          <w:rFonts w:ascii="Times New Roman" w:hAnsi="Times New Roman" w:cs="Times New Roman"/>
          <w:b/>
          <w:lang w:val="ro-RO"/>
        </w:rPr>
        <w:t xml:space="preserve">PLANIFICATE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126FCA">
        <w:rPr>
          <w:rFonts w:ascii="Times New Roman" w:hAnsi="Times New Roman" w:cs="Times New Roman"/>
          <w:b/>
          <w:lang w:val="ro-RO"/>
        </w:rPr>
        <w:t xml:space="preserve"> DETS sec.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5653BF">
        <w:rPr>
          <w:rFonts w:ascii="Times New Roman" w:hAnsi="Times New Roman" w:cs="Times New Roman"/>
          <w:b/>
          <w:lang w:val="ro-RO"/>
        </w:rPr>
        <w:t>luna MAI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750FBF">
        <w:rPr>
          <w:rFonts w:ascii="Times New Roman" w:hAnsi="Times New Roman" w:cs="Times New Roman"/>
          <w:b/>
          <w:lang w:val="ro-RO"/>
        </w:rPr>
        <w:t>2022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p w:rsidR="0036394D" w:rsidRPr="00CC13EB" w:rsidRDefault="003639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E31539" w:rsidRPr="00641E30" w:rsidRDefault="00763DE8" w:rsidP="00E16850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roiectului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 extern programat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norii </w:t>
            </w:r>
            <w:r w:rsidR="00A03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străin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BC43B2" w:rsidRPr="00E1685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Ambasada Japoniei.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 extern CUSANONE                            </w:t>
            </w:r>
            <w:r w:rsidR="00BC43B2" w:rsidRPr="00BC43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 Renovarea</w:t>
            </w:r>
            <w:r w:rsidR="00DD655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și amenajarea pavajului în</w:t>
            </w:r>
            <w:r w:rsidR="00BC43B2" w:rsidRPr="00BC43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IET nr.225”</w:t>
            </w:r>
          </w:p>
        </w:tc>
        <w:tc>
          <w:tcPr>
            <w:tcW w:w="4111" w:type="dxa"/>
          </w:tcPr>
          <w:p w:rsidR="00D66CF1" w:rsidRDefault="005653BF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03 – 31 mai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CC13EB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6394D" w:rsidRDefault="0036394D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3A198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jurist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3A198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 Angela CHIRIȚĂ</w:t>
            </w:r>
          </w:p>
          <w:p w:rsidR="00E31539" w:rsidRPr="0036394D" w:rsidRDefault="003A1982" w:rsidP="0036394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E1685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Întocmirea modificăr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la buget pentru luna mai.                   2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Pregătirea modificărilor la buget ( forma 10,3 )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tabelelor de pontaj a instituțiilor preșcolare și preuniversitare.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Întroducerea 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odificărilor pentru luna mai în programa 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SI CUB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Prezentarea raportului operativ FD – 050 pe fiecare instituție aparte. 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.Întocmirea și prezentarea informației pentru publicarea în sistemul achiziții publice „Procurarea rechizitelor de birou și a materialelor de construcție”.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9F14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5653B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</w:t>
            </w:r>
            <w:r w:rsidR="00990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mai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aprilie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                                                         5.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Prelucrarea dărilor de seamă a instituțiilor de învățământ din subordine.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2604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</w:p>
        </w:tc>
        <w:tc>
          <w:tcPr>
            <w:tcW w:w="4111" w:type="dxa"/>
          </w:tcPr>
          <w:p w:rsidR="00DA11C9" w:rsidRPr="00FB4021" w:rsidRDefault="005653B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– 31 mai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3E303D" w:rsidRDefault="00722F41" w:rsidP="003E303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Încheerea contractelor pentru lucrări de reparații din 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Foaia de Titlu pentru 2022.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caietelor de sarcini pentru procedurile de achiziții  LP.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2.  Achiziționarea 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a) 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„Materiale de construcție și de uz gospodăresc”.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b)  „Produse de igienă”                                                                                  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</w:t>
            </w:r>
            <w:r w:rsidR="003E3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031C5A" w:rsidRDefault="00F24140" w:rsidP="003E303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Proiect investițional extern. Antreprenorul – Guvernul Japoniei „</w:t>
            </w:r>
            <w:r w:rsidR="000B1397" w:rsidRPr="009C4A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Program de granturi pentru securitatea uma</w:t>
            </w:r>
            <w:r w:rsidR="009C4AE6" w:rsidRPr="009C4A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nă cu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C4AE6" w:rsidRPr="009C4A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Kusanone”</w:t>
            </w:r>
            <w:r w:rsidR="000B1397" w:rsidRPr="009C4A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„Renovarea pavajului la grădinița nr.225, str.Mircea cel Bătrîn, 14/2, mun Chișinău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.1.Contract nr. 57 CU SRL „Softconstruct” – 1 519617,79 lei</w:t>
            </w:r>
            <w:r w:rsidR="000B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="00722F4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5653BF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03 - 31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120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C56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01.04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.2022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luna aprilie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 dăril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de seamă pentru luna aprilie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pregătirea formelor necesare, dărilor de seamă pe articole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4111" w:type="dxa"/>
          </w:tcPr>
          <w:p w:rsidR="001A5BA3" w:rsidRPr="00FB4021" w:rsidRDefault="005653BF" w:rsidP="00DA0AC5">
            <w:pPr>
              <w:pStyle w:val="NoSpacing"/>
              <w:numPr>
                <w:ilvl w:val="0"/>
                <w:numId w:val="5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mai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0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="00000FFF" w:rsidRPr="00DA0AC5">
              <w:rPr>
                <w:sz w:val="24"/>
                <w:szCs w:val="24"/>
                <w:lang w:val="ro-RO"/>
              </w:rPr>
              <w:t xml:space="preserve"> -  </w:t>
            </w:r>
            <w:r>
              <w:rPr>
                <w:sz w:val="24"/>
                <w:szCs w:val="24"/>
                <w:lang w:val="ro-RO"/>
              </w:rPr>
              <w:t xml:space="preserve"> 31 mai</w:t>
            </w:r>
            <w:r w:rsidR="00031C5A" w:rsidRPr="00DA0AC5">
              <w:rPr>
                <w:sz w:val="24"/>
                <w:szCs w:val="24"/>
                <w:lang w:val="ro-RO"/>
              </w:rPr>
              <w:t xml:space="preserve"> </w:t>
            </w:r>
            <w:r w:rsidR="00750FBF" w:rsidRPr="00DA0AC5">
              <w:rPr>
                <w:sz w:val="24"/>
                <w:szCs w:val="24"/>
                <w:lang w:val="ro-RO"/>
              </w:rPr>
              <w:t xml:space="preserve"> 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="00000FFF" w:rsidRPr="00DA0AC5">
              <w:rPr>
                <w:sz w:val="24"/>
                <w:szCs w:val="24"/>
                <w:lang w:val="ro-RO"/>
              </w:rPr>
              <w:t xml:space="preserve"> -  </w:t>
            </w:r>
            <w:r>
              <w:rPr>
                <w:sz w:val="24"/>
                <w:szCs w:val="24"/>
                <w:lang w:val="ro-RO"/>
              </w:rPr>
              <w:t xml:space="preserve"> 31 mai</w:t>
            </w:r>
            <w:r w:rsidR="00031C5A" w:rsidRPr="00DA0AC5">
              <w:rPr>
                <w:sz w:val="24"/>
                <w:szCs w:val="24"/>
                <w:lang w:val="ro-RO"/>
              </w:rPr>
              <w:t xml:space="preserve"> </w:t>
            </w:r>
            <w:r w:rsidR="009A6BA5" w:rsidRPr="00DA0AC5">
              <w:rPr>
                <w:sz w:val="24"/>
                <w:szCs w:val="24"/>
                <w:lang w:val="ro-RO"/>
              </w:rPr>
              <w:t xml:space="preserve"> 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mai</w:t>
            </w:r>
            <w:r w:rsidR="003229E8" w:rsidRPr="00DA0AC5">
              <w:rPr>
                <w:sz w:val="24"/>
                <w:szCs w:val="24"/>
                <w:lang w:val="ro-RO"/>
              </w:rPr>
              <w:t xml:space="preserve"> </w:t>
            </w:r>
            <w:r w:rsidR="009A6BA5" w:rsidRPr="00DA0AC5">
              <w:rPr>
                <w:sz w:val="24"/>
                <w:szCs w:val="24"/>
                <w:lang w:val="ro-RO"/>
              </w:rPr>
              <w:t>2022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9A6BA5" w:rsidRPr="00DA0AC5">
              <w:rPr>
                <w:sz w:val="24"/>
                <w:szCs w:val="24"/>
                <w:lang w:val="ro-RO"/>
              </w:rPr>
              <w:t xml:space="preserve"> 2022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mai</w:t>
            </w:r>
            <w:r w:rsidR="003229E8" w:rsidRPr="00DA0AC5">
              <w:rPr>
                <w:sz w:val="24"/>
                <w:szCs w:val="24"/>
                <w:lang w:val="ro-RO"/>
              </w:rPr>
              <w:t xml:space="preserve"> </w:t>
            </w:r>
            <w:r w:rsidR="009A6BA5" w:rsidRPr="00DA0AC5">
              <w:rPr>
                <w:sz w:val="24"/>
                <w:szCs w:val="24"/>
                <w:lang w:val="ro-RO"/>
              </w:rPr>
              <w:t>2022</w:t>
            </w:r>
            <w:r w:rsidR="00924279" w:rsidRPr="00DA0AC5">
              <w:rPr>
                <w:sz w:val="24"/>
                <w:szCs w:val="24"/>
                <w:lang w:val="ro-RO"/>
              </w:rPr>
              <w:t xml:space="preserve">    </w:t>
            </w:r>
            <w:r w:rsidR="003808B4" w:rsidRPr="00DA0AC5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="00924279" w:rsidRPr="00DA0AC5">
              <w:rPr>
                <w:sz w:val="24"/>
                <w:szCs w:val="24"/>
                <w:lang w:val="ro-RO"/>
              </w:rPr>
              <w:t xml:space="preserve">  </w:t>
            </w:r>
            <w:r>
              <w:rPr>
                <w:sz w:val="24"/>
                <w:szCs w:val="24"/>
                <w:lang w:val="ro-RO"/>
              </w:rPr>
              <w:t>- 31 mai</w:t>
            </w:r>
            <w:r w:rsidR="009A6BA5" w:rsidRPr="00DA0AC5">
              <w:rPr>
                <w:sz w:val="24"/>
                <w:szCs w:val="24"/>
                <w:lang w:val="ro-RO"/>
              </w:rPr>
              <w:t xml:space="preserve"> 2022</w:t>
            </w:r>
            <w:r w:rsidR="00924279" w:rsidRPr="00DA0AC5">
              <w:rPr>
                <w:sz w:val="24"/>
                <w:szCs w:val="24"/>
                <w:lang w:val="ro-RO"/>
              </w:rPr>
              <w:t xml:space="preserve">   </w:t>
            </w:r>
            <w:r w:rsidR="00A83CB7" w:rsidRPr="00DA0AC5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Pr="00DA0AC5" w:rsidRDefault="005653BF" w:rsidP="00DA0A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mai</w:t>
            </w:r>
            <w:r w:rsidR="009A6BA5" w:rsidRPr="00DA0AC5">
              <w:rPr>
                <w:sz w:val="24"/>
                <w:szCs w:val="24"/>
                <w:lang w:val="ro-RO"/>
              </w:rPr>
              <w:t xml:space="preserve"> 2022</w:t>
            </w:r>
            <w:r w:rsidR="00924279" w:rsidRPr="00DA0AC5">
              <w:rPr>
                <w:sz w:val="24"/>
                <w:szCs w:val="24"/>
                <w:lang w:val="ro-RO"/>
              </w:rPr>
              <w:t xml:space="preserve">         </w:t>
            </w:r>
            <w:r w:rsidR="00A83CB7" w:rsidRPr="00DA0AC5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A52D62" w:rsidRDefault="005653BF" w:rsidP="00A52D6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mai</w:t>
            </w:r>
            <w:r w:rsidR="009A6BA5" w:rsidRPr="00DA0AC5">
              <w:rPr>
                <w:sz w:val="24"/>
                <w:szCs w:val="24"/>
                <w:lang w:val="ro-RO"/>
              </w:rPr>
              <w:t xml:space="preserve"> 2022</w:t>
            </w:r>
            <w:r w:rsidR="00924279" w:rsidRPr="00DA0AC5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  <w:p w:rsidR="00A03CF0" w:rsidRPr="00FB4021" w:rsidRDefault="00A03CF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5B50E9" w:rsidRPr="00FB4021" w:rsidRDefault="005653B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03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31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APRILIE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aprilie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14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aprilie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tinerii specialiști (1000 lei)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compensație bănească, anuală pentru cadrele didactice (4000 lei)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 DGETS</w:t>
            </w:r>
            <w:r w:rsidR="00DA0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 pentru luna mai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7. Calcularea compensațiilor bănești pentru cadrele didactice.             8. Întroducerea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salariului pentru luna aprilie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programa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1 C CUB.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603B0F" w:rsidRPr="0028324A" w:rsidRDefault="005653B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–  31 mai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Operatorii 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 .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</w:p>
        </w:tc>
        <w:tc>
          <w:tcPr>
            <w:tcW w:w="4111" w:type="dxa"/>
          </w:tcPr>
          <w:p w:rsidR="007A3BEC" w:rsidRPr="0028324A" w:rsidRDefault="005653B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03 - 31 mai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2022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7A3BEC" w:rsidP="00973B2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 secția alimentația și evidenț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produselor alimentare Tatiana ANGHEL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AF4916" w:rsidRDefault="00000FFF" w:rsidP="009A6BA5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AF4916">
              <w:rPr>
                <w:rFonts w:ascii="Times New Roman" w:hAnsi="Times New Roman" w:cs="Times New Roman"/>
                <w:lang w:val="ro-RO"/>
              </w:rPr>
              <w:t xml:space="preserve">.Continuarea </w:t>
            </w:r>
            <w:r w:rsidR="00A52D62">
              <w:rPr>
                <w:rFonts w:ascii="Times New Roman" w:hAnsi="Times New Roman" w:cs="Times New Roman"/>
                <w:lang w:val="ro-RO"/>
              </w:rPr>
              <w:t xml:space="preserve">monitorizării </w:t>
            </w:r>
            <w:r w:rsidR="00AF4916">
              <w:rPr>
                <w:rFonts w:ascii="Times New Roman" w:hAnsi="Times New Roman" w:cs="Times New Roman"/>
                <w:lang w:val="ro-RO"/>
              </w:rPr>
              <w:t>reparației</w:t>
            </w:r>
            <w:r w:rsidR="0012089D">
              <w:rPr>
                <w:rFonts w:ascii="Times New Roman" w:hAnsi="Times New Roman" w:cs="Times New Roman"/>
                <w:lang w:val="ro-RO"/>
              </w:rPr>
              <w:t xml:space="preserve"> pavilio</w:t>
            </w:r>
            <w:r w:rsidR="00A03CF0">
              <w:rPr>
                <w:rFonts w:ascii="Times New Roman" w:hAnsi="Times New Roman" w:cs="Times New Roman"/>
                <w:lang w:val="ro-RO"/>
              </w:rPr>
              <w:t>anelor în IET nr.32,138,177,</w:t>
            </w:r>
            <w:r w:rsidR="00AF4916">
              <w:rPr>
                <w:rFonts w:ascii="Times New Roman" w:hAnsi="Times New Roman" w:cs="Times New Roman"/>
                <w:lang w:val="ro-RO"/>
              </w:rPr>
              <w:t xml:space="preserve">179, </w:t>
            </w:r>
            <w:r w:rsidR="00A03CF0">
              <w:rPr>
                <w:rFonts w:ascii="Times New Roman" w:hAnsi="Times New Roman" w:cs="Times New Roman"/>
                <w:lang w:val="ro-RO"/>
              </w:rPr>
              <w:t xml:space="preserve">225.       </w:t>
            </w:r>
            <w:r w:rsidR="00AF4916">
              <w:rPr>
                <w:rFonts w:ascii="Times New Roman" w:hAnsi="Times New Roman" w:cs="Times New Roman"/>
                <w:lang w:val="ro-RO"/>
              </w:rPr>
              <w:t xml:space="preserve">                 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A6BA5">
              <w:rPr>
                <w:rFonts w:ascii="Times New Roman" w:hAnsi="Times New Roman" w:cs="Times New Roman"/>
                <w:lang w:val="en-US"/>
              </w:rPr>
              <w:t>.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reparație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capitală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A52D62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A52D62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6BA5">
              <w:rPr>
                <w:rFonts w:ascii="Times New Roman" w:hAnsi="Times New Roman" w:cs="Times New Roman"/>
                <w:lang w:val="en-US"/>
              </w:rPr>
              <w:t>investițional</w:t>
            </w:r>
            <w:r w:rsidR="00A52D62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="009A6BA5">
              <w:rPr>
                <w:rFonts w:ascii="Times New Roman" w:hAnsi="Times New Roman" w:cs="Times New Roman"/>
                <w:lang w:val="en-US"/>
              </w:rPr>
              <w:t xml:space="preserve"> extern</w:t>
            </w:r>
            <w:r w:rsidR="00A52D62">
              <w:rPr>
                <w:rFonts w:ascii="Times New Roman" w:hAnsi="Times New Roman" w:cs="Times New Roman"/>
                <w:lang w:val="en-US"/>
              </w:rPr>
              <w:t>E</w:t>
            </w:r>
            <w:bookmarkStart w:id="0" w:name="_GoBack"/>
            <w:bookmarkEnd w:id="0"/>
            <w:r w:rsidR="00D924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en-US"/>
              </w:rPr>
              <w:t>– BERD</w:t>
            </w:r>
            <w:r w:rsidR="00A52D62">
              <w:rPr>
                <w:rFonts w:ascii="Times New Roman" w:hAnsi="Times New Roman" w:cs="Times New Roman"/>
                <w:lang w:val="en-US"/>
              </w:rPr>
              <w:t>, CUSANONE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5653BF">
              <w:rPr>
                <w:rFonts w:ascii="Times New Roman" w:hAnsi="Times New Roman" w:cs="Times New Roman"/>
                <w:lang w:val="ro-RO"/>
              </w:rPr>
              <w:t>3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653BF">
              <w:rPr>
                <w:rFonts w:ascii="Times New Roman" w:hAnsi="Times New Roman" w:cs="Times New Roman"/>
                <w:lang w:val="ro-RO"/>
              </w:rPr>
              <w:t>– 31 mai</w:t>
            </w:r>
            <w:r w:rsidR="009A6BA5">
              <w:rPr>
                <w:rFonts w:ascii="Times New Roman" w:hAnsi="Times New Roman" w:cs="Times New Roman"/>
                <w:lang w:val="ro-RO"/>
              </w:rPr>
              <w:t xml:space="preserve"> 2022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CE73A8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</w:t>
            </w:r>
            <w:r w:rsidR="009F14D4">
              <w:rPr>
                <w:rFonts w:ascii="Times New Roman" w:hAnsi="Times New Roman" w:cs="Times New Roman"/>
                <w:lang w:val="en-US"/>
              </w:rPr>
              <w:t>ivității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procesul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</w:t>
            </w:r>
            <w:r w:rsidR="00AF4916">
              <w:rPr>
                <w:rFonts w:ascii="Times New Roman" w:hAnsi="Times New Roman" w:cs="Times New Roman"/>
                <w:lang w:val="en-US"/>
              </w:rPr>
              <w:t>cizional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informational,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activitatea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DETS.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r w:rsidR="009F14D4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</w:p>
          <w:p w:rsidR="00CE73A8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Reflectarea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0AC5">
              <w:rPr>
                <w:rFonts w:ascii="Times New Roman" w:hAnsi="Times New Roman" w:cs="Times New Roman"/>
                <w:lang w:val="en-US"/>
              </w:rPr>
              <w:t xml:space="preserve">a DETS - </w:t>
            </w:r>
            <w:r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Campaniei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municipale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Curățenia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generală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primăvară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”.</w:t>
            </w:r>
          </w:p>
          <w:p w:rsidR="004A4D71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554E47">
              <w:rPr>
                <w:rFonts w:ascii="Times New Roman" w:hAnsi="Times New Roman" w:cs="Times New Roman"/>
                <w:lang w:val="en-US"/>
              </w:rPr>
              <w:t>P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ostările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B544F0">
              <w:rPr>
                <w:rFonts w:ascii="Times New Roman" w:hAnsi="Times New Roman" w:cs="Times New Roman"/>
                <w:lang w:val="en-US"/>
              </w:rPr>
              <w:t>,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sec.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acțiunilor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reflect</w:t>
            </w:r>
            <w:r w:rsidR="00B544F0"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calitativă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procesul</w:t>
            </w:r>
            <w:r w:rsidR="00B544F0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r w:rsidR="00000FFF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653BF">
              <w:rPr>
                <w:rFonts w:ascii="Times New Roman" w:hAnsi="Times New Roman" w:cs="Times New Roman"/>
                <w:lang w:val="ro-RO"/>
              </w:rPr>
              <w:t>03</w:t>
            </w:r>
            <w:r w:rsidR="00D924E2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5653BF">
              <w:rPr>
                <w:rFonts w:ascii="Times New Roman" w:hAnsi="Times New Roman" w:cs="Times New Roman"/>
                <w:lang w:val="ro-RO"/>
              </w:rPr>
              <w:t xml:space="preserve"> 31 mai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6BA5">
              <w:rPr>
                <w:rFonts w:ascii="Times New Roman" w:hAnsi="Times New Roman" w:cs="Times New Roman"/>
                <w:lang w:val="ro-RO"/>
              </w:rPr>
              <w:t xml:space="preserve"> 2022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Pr="00CE73A8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,</w:t>
      </w:r>
      <w:r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000FFF" w:rsidRPr="00CE73A8">
        <w:rPr>
          <w:rFonts w:ascii="Times New Roman" w:hAnsi="Times New Roman" w:cs="Times New Roman"/>
          <w:b/>
          <w:i/>
          <w:lang w:val="ro-RO"/>
        </w:rPr>
        <w:t xml:space="preserve">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Șef</w:t>
      </w:r>
      <w:r w:rsidR="00DA0AC5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DETS                   </w:t>
      </w:r>
      <w:r w:rsidR="00430255" w:rsidRPr="00CE73A8">
        <w:rPr>
          <w:rFonts w:ascii="Times New Roman" w:hAnsi="Times New Roman" w:cs="Times New Roman"/>
          <w:b/>
          <w:i/>
          <w:lang w:val="ro-RO"/>
        </w:rPr>
        <w:t xml:space="preserve">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D66CF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</w:t>
      </w:r>
    </w:p>
    <w:p w:rsidR="002F2F62" w:rsidRPr="00CE73A8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Valeriu ROTARU</w:t>
      </w:r>
      <w:r w:rsidR="00D51BC4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</w:t>
      </w:r>
    </w:p>
    <w:p w:rsidR="00861153" w:rsidRPr="00CE73A8" w:rsidRDefault="00DA0AC5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</w:t>
      </w:r>
      <w:r w:rsidR="00CE73A8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E73A8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lang w:val="ro-RO"/>
        </w:rPr>
        <w:t xml:space="preserve">                               </w:t>
      </w:r>
    </w:p>
    <w:p w:rsidR="00461B1E" w:rsidRPr="00B90EBF" w:rsidRDefault="00CE73A8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CE73A8" w:rsidRDefault="00461B1E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</w:t>
      </w:r>
      <w:r w:rsidR="00CE73A8">
        <w:rPr>
          <w:rFonts w:ascii="Times New Roman" w:hAnsi="Times New Roman" w:cs="Times New Roman"/>
          <w:sz w:val="18"/>
          <w:szCs w:val="18"/>
          <w:lang w:val="ro-RO"/>
        </w:rPr>
        <w:t xml:space="preserve">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CE73A8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BA" w:rsidRDefault="007A7FBA" w:rsidP="00213BCF">
      <w:pPr>
        <w:spacing w:after="0" w:line="240" w:lineRule="auto"/>
      </w:pPr>
      <w:r>
        <w:separator/>
      </w:r>
    </w:p>
  </w:endnote>
  <w:endnote w:type="continuationSeparator" w:id="0">
    <w:p w:rsidR="007A7FBA" w:rsidRDefault="007A7FBA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BA" w:rsidRDefault="007A7FBA" w:rsidP="00213BCF">
      <w:pPr>
        <w:spacing w:after="0" w:line="240" w:lineRule="auto"/>
      </w:pPr>
      <w:r>
        <w:separator/>
      </w:r>
    </w:p>
  </w:footnote>
  <w:footnote w:type="continuationSeparator" w:id="0">
    <w:p w:rsidR="007A7FBA" w:rsidRDefault="007A7FBA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7A7F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7A7F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51E40"/>
    <w:multiLevelType w:val="hybridMultilevel"/>
    <w:tmpl w:val="03A0877C"/>
    <w:lvl w:ilvl="0" w:tplc="202A3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00FFF"/>
    <w:rsid w:val="00001AA7"/>
    <w:rsid w:val="0001504E"/>
    <w:rsid w:val="0001796E"/>
    <w:rsid w:val="00021ADB"/>
    <w:rsid w:val="00031C5A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4ACD"/>
    <w:rsid w:val="000A67D2"/>
    <w:rsid w:val="000B1397"/>
    <w:rsid w:val="000B2F9F"/>
    <w:rsid w:val="000D5D3E"/>
    <w:rsid w:val="000E34B1"/>
    <w:rsid w:val="000E502A"/>
    <w:rsid w:val="00101105"/>
    <w:rsid w:val="00102D32"/>
    <w:rsid w:val="001057FA"/>
    <w:rsid w:val="00110084"/>
    <w:rsid w:val="00111CB4"/>
    <w:rsid w:val="00112206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2B0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04A0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6394D"/>
    <w:rsid w:val="003711DF"/>
    <w:rsid w:val="003808B4"/>
    <w:rsid w:val="003928F1"/>
    <w:rsid w:val="0039299D"/>
    <w:rsid w:val="003A1982"/>
    <w:rsid w:val="003A3157"/>
    <w:rsid w:val="003C45A2"/>
    <w:rsid w:val="003D65FE"/>
    <w:rsid w:val="003E303D"/>
    <w:rsid w:val="003E4989"/>
    <w:rsid w:val="00400885"/>
    <w:rsid w:val="00414819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6F5F"/>
    <w:rsid w:val="0049582B"/>
    <w:rsid w:val="00495E56"/>
    <w:rsid w:val="004A4D71"/>
    <w:rsid w:val="004A54CA"/>
    <w:rsid w:val="004B22EA"/>
    <w:rsid w:val="004B5C90"/>
    <w:rsid w:val="004C1D8B"/>
    <w:rsid w:val="004C41A2"/>
    <w:rsid w:val="004D6C53"/>
    <w:rsid w:val="004E3773"/>
    <w:rsid w:val="0050424B"/>
    <w:rsid w:val="00504956"/>
    <w:rsid w:val="00510EEA"/>
    <w:rsid w:val="00515A25"/>
    <w:rsid w:val="00523BB2"/>
    <w:rsid w:val="005302FB"/>
    <w:rsid w:val="00547F8D"/>
    <w:rsid w:val="00554E47"/>
    <w:rsid w:val="00561B9E"/>
    <w:rsid w:val="00563715"/>
    <w:rsid w:val="00564255"/>
    <w:rsid w:val="005647A7"/>
    <w:rsid w:val="005653BF"/>
    <w:rsid w:val="00565C46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23F7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A7FBA"/>
    <w:rsid w:val="007B6133"/>
    <w:rsid w:val="007C6750"/>
    <w:rsid w:val="007C746E"/>
    <w:rsid w:val="007D002C"/>
    <w:rsid w:val="007E1D46"/>
    <w:rsid w:val="007E2EBA"/>
    <w:rsid w:val="007F1D15"/>
    <w:rsid w:val="007F3530"/>
    <w:rsid w:val="007F5519"/>
    <w:rsid w:val="00803882"/>
    <w:rsid w:val="008049CC"/>
    <w:rsid w:val="00805D88"/>
    <w:rsid w:val="008121AE"/>
    <w:rsid w:val="00820E5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2C14"/>
    <w:rsid w:val="00966828"/>
    <w:rsid w:val="0097111F"/>
    <w:rsid w:val="00973B25"/>
    <w:rsid w:val="00977339"/>
    <w:rsid w:val="00984E5B"/>
    <w:rsid w:val="00990204"/>
    <w:rsid w:val="00996826"/>
    <w:rsid w:val="009A6BA5"/>
    <w:rsid w:val="009C0256"/>
    <w:rsid w:val="009C15B3"/>
    <w:rsid w:val="009C1EEE"/>
    <w:rsid w:val="009C4AE6"/>
    <w:rsid w:val="009E3531"/>
    <w:rsid w:val="009F14D4"/>
    <w:rsid w:val="009F3423"/>
    <w:rsid w:val="00A03559"/>
    <w:rsid w:val="00A03CF0"/>
    <w:rsid w:val="00A07A40"/>
    <w:rsid w:val="00A232F0"/>
    <w:rsid w:val="00A32BBA"/>
    <w:rsid w:val="00A33835"/>
    <w:rsid w:val="00A33A18"/>
    <w:rsid w:val="00A409E7"/>
    <w:rsid w:val="00A4232A"/>
    <w:rsid w:val="00A50F6E"/>
    <w:rsid w:val="00A52D62"/>
    <w:rsid w:val="00A54BE0"/>
    <w:rsid w:val="00A5728C"/>
    <w:rsid w:val="00A60F53"/>
    <w:rsid w:val="00A62A21"/>
    <w:rsid w:val="00A66ED7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AF4916"/>
    <w:rsid w:val="00B04EC3"/>
    <w:rsid w:val="00B0552B"/>
    <w:rsid w:val="00B06E24"/>
    <w:rsid w:val="00B1600D"/>
    <w:rsid w:val="00B22DF2"/>
    <w:rsid w:val="00B23FBF"/>
    <w:rsid w:val="00B24FDB"/>
    <w:rsid w:val="00B50FBE"/>
    <w:rsid w:val="00B544F0"/>
    <w:rsid w:val="00B67C2F"/>
    <w:rsid w:val="00B71EB0"/>
    <w:rsid w:val="00B90EBF"/>
    <w:rsid w:val="00B94F58"/>
    <w:rsid w:val="00BA099C"/>
    <w:rsid w:val="00BA54B1"/>
    <w:rsid w:val="00BA615B"/>
    <w:rsid w:val="00BC4354"/>
    <w:rsid w:val="00BC43B2"/>
    <w:rsid w:val="00BD7359"/>
    <w:rsid w:val="00BE2B7A"/>
    <w:rsid w:val="00BE3469"/>
    <w:rsid w:val="00BE71FC"/>
    <w:rsid w:val="00C00F19"/>
    <w:rsid w:val="00C106B8"/>
    <w:rsid w:val="00C16F22"/>
    <w:rsid w:val="00C2017D"/>
    <w:rsid w:val="00C25595"/>
    <w:rsid w:val="00C42A0C"/>
    <w:rsid w:val="00C56BC4"/>
    <w:rsid w:val="00C61941"/>
    <w:rsid w:val="00C633E1"/>
    <w:rsid w:val="00C63D2A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E73A8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3C17"/>
    <w:rsid w:val="00D770D1"/>
    <w:rsid w:val="00D83935"/>
    <w:rsid w:val="00D83DBB"/>
    <w:rsid w:val="00D924E2"/>
    <w:rsid w:val="00D95037"/>
    <w:rsid w:val="00DA0AC5"/>
    <w:rsid w:val="00DA11C9"/>
    <w:rsid w:val="00DA2550"/>
    <w:rsid w:val="00DA7CCE"/>
    <w:rsid w:val="00DB0EF2"/>
    <w:rsid w:val="00DC2BB1"/>
    <w:rsid w:val="00DC3633"/>
    <w:rsid w:val="00DC6A9C"/>
    <w:rsid w:val="00DD6559"/>
    <w:rsid w:val="00DE06F3"/>
    <w:rsid w:val="00DE29AC"/>
    <w:rsid w:val="00DF65A5"/>
    <w:rsid w:val="00DF7F91"/>
    <w:rsid w:val="00E06C3B"/>
    <w:rsid w:val="00E07A04"/>
    <w:rsid w:val="00E1598D"/>
    <w:rsid w:val="00E16850"/>
    <w:rsid w:val="00E31539"/>
    <w:rsid w:val="00E35A3B"/>
    <w:rsid w:val="00E374F4"/>
    <w:rsid w:val="00E447C3"/>
    <w:rsid w:val="00E618D5"/>
    <w:rsid w:val="00EA6738"/>
    <w:rsid w:val="00EA7BE8"/>
    <w:rsid w:val="00EB245A"/>
    <w:rsid w:val="00EC3BDB"/>
    <w:rsid w:val="00ED7A74"/>
    <w:rsid w:val="00EE3732"/>
    <w:rsid w:val="00EF29EC"/>
    <w:rsid w:val="00F017B1"/>
    <w:rsid w:val="00F11419"/>
    <w:rsid w:val="00F150D2"/>
    <w:rsid w:val="00F21711"/>
    <w:rsid w:val="00F24140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5113"/>
    <w:rsid w:val="00F66F4C"/>
    <w:rsid w:val="00F67D57"/>
    <w:rsid w:val="00FA1DCB"/>
    <w:rsid w:val="00FB17C1"/>
    <w:rsid w:val="00FB4021"/>
    <w:rsid w:val="00FD02F5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B17840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2C74-6ECE-4C7A-8971-63602B3A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2466</Words>
  <Characters>14061</Characters>
  <Application>Microsoft Office Word</Application>
  <DocSecurity>0</DocSecurity>
  <Lines>117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3</cp:revision>
  <cp:lastPrinted>2022-03-25T11:39:00Z</cp:lastPrinted>
  <dcterms:created xsi:type="dcterms:W3CDTF">2022-04-21T13:25:00Z</dcterms:created>
  <dcterms:modified xsi:type="dcterms:W3CDTF">2022-04-22T11:04:00Z</dcterms:modified>
</cp:coreProperties>
</file>