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36394D">
        <w:rPr>
          <w:rFonts w:ascii="Times New Roman" w:hAnsi="Times New Roman" w:cs="Times New Roman"/>
          <w:lang w:val="ro-RO"/>
        </w:rPr>
        <w:t xml:space="preserve">                              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12089D">
        <w:rPr>
          <w:rFonts w:ascii="Times New Roman" w:hAnsi="Times New Roman" w:cs="Times New Roman"/>
          <w:b/>
          <w:lang w:val="ro-RO"/>
        </w:rPr>
        <w:t xml:space="preserve">PLANIFICATE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126FCA">
        <w:rPr>
          <w:rFonts w:ascii="Times New Roman" w:hAnsi="Times New Roman" w:cs="Times New Roman"/>
          <w:b/>
          <w:lang w:val="ro-RO"/>
        </w:rPr>
        <w:t xml:space="preserve"> DETS sec.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36394D">
        <w:rPr>
          <w:rFonts w:ascii="Times New Roman" w:hAnsi="Times New Roman" w:cs="Times New Roman"/>
          <w:b/>
          <w:lang w:val="ro-RO"/>
        </w:rPr>
        <w:t>luna FEBR</w:t>
      </w:r>
      <w:r w:rsidR="00750FBF">
        <w:rPr>
          <w:rFonts w:ascii="Times New Roman" w:hAnsi="Times New Roman" w:cs="Times New Roman"/>
          <w:b/>
          <w:lang w:val="ro-RO"/>
        </w:rPr>
        <w:t>UARIE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750FBF">
        <w:rPr>
          <w:rFonts w:ascii="Times New Roman" w:hAnsi="Times New Roman" w:cs="Times New Roman"/>
          <w:b/>
          <w:lang w:val="ro-RO"/>
        </w:rPr>
        <w:t>2022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p w:rsidR="0036394D" w:rsidRPr="00CC13EB" w:rsidRDefault="003639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E3153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roiectului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 extern programat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norul străin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uirea conductelor de încălzire.Reparația scărilor.</w:t>
            </w:r>
            <w:r w:rsidR="00120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</w:tc>
        <w:tc>
          <w:tcPr>
            <w:tcW w:w="4111" w:type="dxa"/>
          </w:tcPr>
          <w:p w:rsidR="00D66CF1" w:rsidRDefault="0036394D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28  febr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CC13EB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6394D" w:rsidRDefault="0036394D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3A198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jurist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3A198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 Angela CHIRIȚĂ</w:t>
            </w:r>
          </w:p>
          <w:p w:rsidR="00E31539" w:rsidRPr="0036394D" w:rsidRDefault="003A1982" w:rsidP="0036394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12089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F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Întroducerea programei 1C CUB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tabelelor </w:t>
            </w:r>
            <w:r w:rsidR="009F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pontaj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</w:t>
            </w:r>
            <w:r w:rsidR="009F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ficărilor pentru luna ianuarie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9F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5.Întroducerea planului aprobat pe instituții în E-alocații.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</w:t>
            </w:r>
            <w:r w:rsidR="00990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 febr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ianuarie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                                                         5.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Prelucrarea dărilor de seamă a instituțiilor de învățământ din subordine.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</w:p>
        </w:tc>
        <w:tc>
          <w:tcPr>
            <w:tcW w:w="4111" w:type="dxa"/>
          </w:tcPr>
          <w:p w:rsidR="00DA11C9" w:rsidRPr="00FB4021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28 febr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 2022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A03CF0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Darea de seamă privind realizarea achizițiilor publice de mică valoare 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contractate în anul 2021.                                                  2. Proiect investițional extern. Antreprenorul – Guvernul Japoniei „Program de granturi pentru securitatea umană cu Kusanone” Proiectul se va desfășura în IET nr.225 „Renovarea pavajului la grădinița nr.225, str.Mircea cel Bătrîn, 14/2, mun Chișinău”                                                             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3. Contracte de servicii.                                                                       4.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alimentație pentru instituțiile preuniversitare.</w:t>
            </w:r>
          </w:p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36394D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01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- 28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</w:t>
            </w:r>
            <w:r w:rsidR="00120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 2022</w:t>
            </w:r>
          </w:p>
          <w:p w:rsidR="00990204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  <w:p w:rsidR="00990204" w:rsidRDefault="00990204" w:rsidP="0099020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C56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A03CF0" w:rsidRDefault="001A5BA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01.02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.2022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luna ianuarie.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 dărilor de seamă pentru luna ianuarie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pregătirea formelor necesare, dărilor de seamă pe articole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DA11C9" w:rsidRPr="00FB4021" w:rsidRDefault="00A60F5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febr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36394D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28 febr</w:t>
            </w:r>
            <w:r w:rsidR="00750FBF">
              <w:rPr>
                <w:sz w:val="24"/>
                <w:szCs w:val="24"/>
                <w:lang w:val="ro-RO"/>
              </w:rPr>
              <w:t>uarie 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36394D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28 febr</w:t>
            </w:r>
            <w:r w:rsidR="009A6BA5">
              <w:rPr>
                <w:sz w:val="24"/>
                <w:szCs w:val="24"/>
                <w:lang w:val="ro-RO"/>
              </w:rPr>
              <w:t>uarie 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36394D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 febr</w:t>
            </w:r>
            <w:r w:rsidR="009A6BA5">
              <w:rPr>
                <w:sz w:val="24"/>
                <w:szCs w:val="24"/>
                <w:lang w:val="ro-RO"/>
              </w:rPr>
              <w:t>uarie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sz w:val="24"/>
                <w:szCs w:val="24"/>
                <w:lang w:val="ro-RO"/>
              </w:rPr>
              <w:t>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36394D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febr</w:t>
            </w:r>
            <w:r w:rsidR="009A6BA5">
              <w:rPr>
                <w:sz w:val="24"/>
                <w:szCs w:val="24"/>
                <w:lang w:val="ro-RO"/>
              </w:rPr>
              <w:t xml:space="preserve">uarie 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sz w:val="24"/>
                <w:szCs w:val="24"/>
                <w:lang w:val="ro-RO"/>
              </w:rPr>
              <w:t>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36394D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febr</w:t>
            </w:r>
            <w:r w:rsidR="009A6BA5">
              <w:rPr>
                <w:sz w:val="24"/>
                <w:szCs w:val="24"/>
                <w:lang w:val="ro-RO"/>
              </w:rPr>
              <w:t>uarie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sz w:val="24"/>
                <w:szCs w:val="24"/>
                <w:lang w:val="ro-RO"/>
              </w:rPr>
              <w:t xml:space="preserve">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 w:rsidR="0036394D">
              <w:rPr>
                <w:sz w:val="24"/>
                <w:szCs w:val="24"/>
                <w:lang w:val="ro-RO"/>
              </w:rPr>
              <w:t>- 28 febr</w:t>
            </w:r>
            <w:r w:rsidR="009A6BA5">
              <w:rPr>
                <w:sz w:val="24"/>
                <w:szCs w:val="24"/>
                <w:lang w:val="ro-RO"/>
              </w:rPr>
              <w:t>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6394D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febr</w:t>
            </w:r>
            <w:r w:rsidR="009A6BA5">
              <w:rPr>
                <w:sz w:val="24"/>
                <w:szCs w:val="24"/>
                <w:lang w:val="ro-RO"/>
              </w:rPr>
              <w:t>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36394D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febr</w:t>
            </w:r>
            <w:r w:rsidR="009A6BA5">
              <w:rPr>
                <w:sz w:val="24"/>
                <w:szCs w:val="24"/>
                <w:lang w:val="ro-RO"/>
              </w:rPr>
              <w:t>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  <w:p w:rsidR="00A03CF0" w:rsidRPr="00FB4021" w:rsidRDefault="00A03CF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5B50E9" w:rsidRPr="00FB4021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28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arie 2022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ianuarie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ianuarie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ianuarie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 pentru luna februarie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7. Calcularea compensațiilor bănești pentru cadrele didactice.             8. Întroducerea salariului pentru luna ianuarie 2022 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programa Sicub.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603B0F" w:rsidRPr="0028324A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 28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3639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01 - 28 febr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7A3BEC" w:rsidP="00973B2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 secția alimentația și evidenț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produselor alimentare Tatiana ANGHEL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AF4916" w:rsidRDefault="00AF4916" w:rsidP="009A6BA5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1.Completarea caietelor de sarcini pentru lucrările de reparații capitale planificate în instituțiile de învățământ general din subordine conform FT  2022.                                                                                 2.Continuarea reparației</w:t>
            </w:r>
            <w:r w:rsidR="0012089D">
              <w:rPr>
                <w:rFonts w:ascii="Times New Roman" w:hAnsi="Times New Roman" w:cs="Times New Roman"/>
                <w:lang w:val="ro-RO"/>
              </w:rPr>
              <w:t xml:space="preserve"> pavilio</w:t>
            </w:r>
            <w:r w:rsidR="00A03CF0">
              <w:rPr>
                <w:rFonts w:ascii="Times New Roman" w:hAnsi="Times New Roman" w:cs="Times New Roman"/>
                <w:lang w:val="ro-RO"/>
              </w:rPr>
              <w:t>anelor în IET nr.32,138,177,</w:t>
            </w:r>
            <w:r>
              <w:rPr>
                <w:rFonts w:ascii="Times New Roman" w:hAnsi="Times New Roman" w:cs="Times New Roman"/>
                <w:lang w:val="ro-RO"/>
              </w:rPr>
              <w:t xml:space="preserve">179, </w:t>
            </w:r>
            <w:r w:rsidR="00A03CF0">
              <w:rPr>
                <w:rFonts w:ascii="Times New Roman" w:hAnsi="Times New Roman" w:cs="Times New Roman"/>
                <w:lang w:val="ro-RO"/>
              </w:rPr>
              <w:t xml:space="preserve">225.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capitală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A6BA5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A6BA5">
              <w:rPr>
                <w:rFonts w:ascii="Times New Roman" w:hAnsi="Times New Roman" w:cs="Times New Roman"/>
                <w:lang w:val="en-US"/>
              </w:rPr>
              <w:t>Proiectului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6BA5">
              <w:rPr>
                <w:rFonts w:ascii="Times New Roman" w:hAnsi="Times New Roman" w:cs="Times New Roman"/>
                <w:lang w:val="en-US"/>
              </w:rPr>
              <w:t>investițional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extern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36394D">
              <w:rPr>
                <w:rFonts w:ascii="Times New Roman" w:hAnsi="Times New Roman" w:cs="Times New Roman"/>
                <w:lang w:val="ro-RO"/>
              </w:rPr>
              <w:t>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6394D">
              <w:rPr>
                <w:rFonts w:ascii="Times New Roman" w:hAnsi="Times New Roman" w:cs="Times New Roman"/>
                <w:lang w:val="ro-RO"/>
              </w:rPr>
              <w:t>– 28 febr</w:t>
            </w:r>
            <w:r w:rsidR="009A6BA5">
              <w:rPr>
                <w:rFonts w:ascii="Times New Roman" w:hAnsi="Times New Roman" w:cs="Times New Roman"/>
                <w:lang w:val="ro-RO"/>
              </w:rPr>
              <w:t>uarie 2022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</w:t>
            </w:r>
            <w:r w:rsidR="009F14D4">
              <w:rPr>
                <w:rFonts w:ascii="Times New Roman" w:hAnsi="Times New Roman" w:cs="Times New Roman"/>
                <w:lang w:val="en-US"/>
              </w:rPr>
              <w:t>ivității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procesul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</w:t>
            </w:r>
            <w:r w:rsidR="00AF4916">
              <w:rPr>
                <w:rFonts w:ascii="Times New Roman" w:hAnsi="Times New Roman" w:cs="Times New Roman"/>
                <w:lang w:val="en-US"/>
              </w:rPr>
              <w:t>cizional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informational,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activitatea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DETS.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r w:rsidR="009F14D4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</w:t>
            </w:r>
            <w:r w:rsidR="004A4D71">
              <w:rPr>
                <w:rFonts w:ascii="Times New Roman" w:hAnsi="Times New Roman" w:cs="Times New Roman"/>
                <w:lang w:val="en-US"/>
              </w:rPr>
              <w:t>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B544F0">
              <w:rPr>
                <w:rFonts w:ascii="Times New Roman" w:hAnsi="Times New Roman" w:cs="Times New Roman"/>
                <w:lang w:val="en-US"/>
              </w:rPr>
              <w:t>,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sec.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acțiunilor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reflect</w:t>
            </w:r>
            <w:r w:rsidR="00B544F0"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procesul</w:t>
            </w:r>
            <w:r w:rsidR="00B544F0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r w:rsidR="00B544F0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subordonate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>.</w:t>
            </w:r>
            <w:r w:rsidR="00554E4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6394D">
              <w:rPr>
                <w:rFonts w:ascii="Times New Roman" w:hAnsi="Times New Roman" w:cs="Times New Roman"/>
                <w:lang w:val="ro-RO"/>
              </w:rPr>
              <w:t>01 – 28 febr</w:t>
            </w:r>
            <w:r w:rsidR="009A6BA5">
              <w:rPr>
                <w:rFonts w:ascii="Times New Roman" w:hAnsi="Times New Roman" w:cs="Times New Roman"/>
                <w:lang w:val="ro-RO"/>
              </w:rPr>
              <w:t>uarie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lang w:val="ro-RO"/>
              </w:rPr>
              <w:t xml:space="preserve"> 2022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9A6BA5" w:rsidRDefault="00461B1E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</w:p>
    <w:p w:rsidR="009A6BA5" w:rsidRDefault="009A6BA5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A6BA5" w:rsidRDefault="009A6BA5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1153" w:rsidRPr="003808B4" w:rsidRDefault="009A6BA5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A03CF0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A03CF0">
        <w:rPr>
          <w:rFonts w:ascii="Times New Roman" w:hAnsi="Times New Roman" w:cs="Times New Roman"/>
          <w:lang w:val="ro-RO"/>
        </w:rPr>
        <w:t xml:space="preserve">                   </w:t>
      </w:r>
    </w:p>
    <w:p w:rsidR="00461B1E" w:rsidRPr="00B90EBF" w:rsidRDefault="00A03CF0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F5" w:rsidRDefault="00FD02F5" w:rsidP="00213BCF">
      <w:pPr>
        <w:spacing w:after="0" w:line="240" w:lineRule="auto"/>
      </w:pPr>
      <w:r>
        <w:separator/>
      </w:r>
    </w:p>
  </w:endnote>
  <w:endnote w:type="continuationSeparator" w:id="0">
    <w:p w:rsidR="00FD02F5" w:rsidRDefault="00FD02F5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F5" w:rsidRDefault="00FD02F5" w:rsidP="00213BCF">
      <w:pPr>
        <w:spacing w:after="0" w:line="240" w:lineRule="auto"/>
      </w:pPr>
      <w:r>
        <w:separator/>
      </w:r>
    </w:p>
  </w:footnote>
  <w:footnote w:type="continuationSeparator" w:id="0">
    <w:p w:rsidR="00FD02F5" w:rsidRDefault="00FD02F5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FD02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FD02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01AA7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4ACD"/>
    <w:rsid w:val="000A67D2"/>
    <w:rsid w:val="000B1397"/>
    <w:rsid w:val="000B2F9F"/>
    <w:rsid w:val="000D5D3E"/>
    <w:rsid w:val="000E34B1"/>
    <w:rsid w:val="000E502A"/>
    <w:rsid w:val="00101105"/>
    <w:rsid w:val="00102D32"/>
    <w:rsid w:val="001057FA"/>
    <w:rsid w:val="00111CB4"/>
    <w:rsid w:val="00112206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04A0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6394D"/>
    <w:rsid w:val="003711DF"/>
    <w:rsid w:val="003808B4"/>
    <w:rsid w:val="003928F1"/>
    <w:rsid w:val="0039299D"/>
    <w:rsid w:val="003A1982"/>
    <w:rsid w:val="003A3157"/>
    <w:rsid w:val="003C45A2"/>
    <w:rsid w:val="003D65FE"/>
    <w:rsid w:val="003E4989"/>
    <w:rsid w:val="00400885"/>
    <w:rsid w:val="00414819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6F5F"/>
    <w:rsid w:val="0049582B"/>
    <w:rsid w:val="00495E56"/>
    <w:rsid w:val="004A4D71"/>
    <w:rsid w:val="004A54CA"/>
    <w:rsid w:val="004B22EA"/>
    <w:rsid w:val="004B5C90"/>
    <w:rsid w:val="004C1D8B"/>
    <w:rsid w:val="004C41A2"/>
    <w:rsid w:val="004D6C53"/>
    <w:rsid w:val="004E3773"/>
    <w:rsid w:val="0050424B"/>
    <w:rsid w:val="00504956"/>
    <w:rsid w:val="00510EEA"/>
    <w:rsid w:val="00515A25"/>
    <w:rsid w:val="00523BB2"/>
    <w:rsid w:val="005302FB"/>
    <w:rsid w:val="00547F8D"/>
    <w:rsid w:val="00554E47"/>
    <w:rsid w:val="00561B9E"/>
    <w:rsid w:val="00563715"/>
    <w:rsid w:val="00564255"/>
    <w:rsid w:val="00565C46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0E5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2C14"/>
    <w:rsid w:val="00966828"/>
    <w:rsid w:val="0097111F"/>
    <w:rsid w:val="00973B25"/>
    <w:rsid w:val="00977339"/>
    <w:rsid w:val="00984E5B"/>
    <w:rsid w:val="00990204"/>
    <w:rsid w:val="00996826"/>
    <w:rsid w:val="009A6BA5"/>
    <w:rsid w:val="009C0256"/>
    <w:rsid w:val="009C15B3"/>
    <w:rsid w:val="009C1EEE"/>
    <w:rsid w:val="009F14D4"/>
    <w:rsid w:val="009F3423"/>
    <w:rsid w:val="00A03559"/>
    <w:rsid w:val="00A03CF0"/>
    <w:rsid w:val="00A07A40"/>
    <w:rsid w:val="00A232F0"/>
    <w:rsid w:val="00A32BBA"/>
    <w:rsid w:val="00A33835"/>
    <w:rsid w:val="00A33A18"/>
    <w:rsid w:val="00A409E7"/>
    <w:rsid w:val="00A4232A"/>
    <w:rsid w:val="00A50F6E"/>
    <w:rsid w:val="00A5728C"/>
    <w:rsid w:val="00A60F53"/>
    <w:rsid w:val="00A62A21"/>
    <w:rsid w:val="00A66ED7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AF4916"/>
    <w:rsid w:val="00B04EC3"/>
    <w:rsid w:val="00B0552B"/>
    <w:rsid w:val="00B06E24"/>
    <w:rsid w:val="00B1600D"/>
    <w:rsid w:val="00B22DF2"/>
    <w:rsid w:val="00B23FBF"/>
    <w:rsid w:val="00B24FDB"/>
    <w:rsid w:val="00B50FBE"/>
    <w:rsid w:val="00B544F0"/>
    <w:rsid w:val="00B67C2F"/>
    <w:rsid w:val="00B71EB0"/>
    <w:rsid w:val="00B90EBF"/>
    <w:rsid w:val="00B94F58"/>
    <w:rsid w:val="00BA099C"/>
    <w:rsid w:val="00BA54B1"/>
    <w:rsid w:val="00BA615B"/>
    <w:rsid w:val="00BC4354"/>
    <w:rsid w:val="00BE2B7A"/>
    <w:rsid w:val="00BE3469"/>
    <w:rsid w:val="00BE71FC"/>
    <w:rsid w:val="00C00F19"/>
    <w:rsid w:val="00C106B8"/>
    <w:rsid w:val="00C2017D"/>
    <w:rsid w:val="00C25595"/>
    <w:rsid w:val="00C42A0C"/>
    <w:rsid w:val="00C56BC4"/>
    <w:rsid w:val="00C61941"/>
    <w:rsid w:val="00C633E1"/>
    <w:rsid w:val="00C63D2A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2BB1"/>
    <w:rsid w:val="00DC3633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5A3B"/>
    <w:rsid w:val="00E374F4"/>
    <w:rsid w:val="00E447C3"/>
    <w:rsid w:val="00E618D5"/>
    <w:rsid w:val="00EA6738"/>
    <w:rsid w:val="00EA7BE8"/>
    <w:rsid w:val="00EB245A"/>
    <w:rsid w:val="00EC3BDB"/>
    <w:rsid w:val="00ED7A74"/>
    <w:rsid w:val="00EE3732"/>
    <w:rsid w:val="00EF29EC"/>
    <w:rsid w:val="00F017B1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6F4C"/>
    <w:rsid w:val="00F67D57"/>
    <w:rsid w:val="00FA1DCB"/>
    <w:rsid w:val="00FB17C1"/>
    <w:rsid w:val="00FB4021"/>
    <w:rsid w:val="00FD02F5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DA54-5C76-4FE8-AC64-291AE7D8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2443</Words>
  <Characters>13929</Characters>
  <Application>Microsoft Office Word</Application>
  <DocSecurity>0</DocSecurity>
  <Lines>116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2022-01-27T13:22:00Z</cp:lastPrinted>
  <dcterms:created xsi:type="dcterms:W3CDTF">2022-02-02T08:41:00Z</dcterms:created>
  <dcterms:modified xsi:type="dcterms:W3CDTF">2022-02-02T08:41:00Z</dcterms:modified>
</cp:coreProperties>
</file>