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  <w:bookmarkStart w:id="0" w:name="_GoBack"/>
            <w:bookmarkEnd w:id="0"/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a6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a6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a6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a6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a6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a6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Pr="00CC13EB" w:rsidRDefault="0058624D" w:rsidP="00CC13EB">
      <w:pPr>
        <w:pStyle w:val="a6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3569A1">
        <w:rPr>
          <w:rFonts w:ascii="Times New Roman" w:hAnsi="Times New Roman" w:cs="Times New Roman"/>
          <w:lang w:val="ro-RO"/>
        </w:rPr>
        <w:t xml:space="preserve">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12089D">
        <w:rPr>
          <w:rFonts w:ascii="Times New Roman" w:hAnsi="Times New Roman" w:cs="Times New Roman"/>
          <w:b/>
          <w:lang w:val="ro-RO"/>
        </w:rPr>
        <w:t xml:space="preserve">PLANIFICATE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126FCA">
        <w:rPr>
          <w:rFonts w:ascii="Times New Roman" w:hAnsi="Times New Roman" w:cs="Times New Roman"/>
          <w:b/>
          <w:lang w:val="ro-RO"/>
        </w:rPr>
        <w:t xml:space="preserve"> DETS sec.</w:t>
      </w:r>
      <w:r w:rsidR="00BC4354">
        <w:rPr>
          <w:rFonts w:ascii="Times New Roman" w:hAnsi="Times New Roman" w:cs="Times New Roman"/>
          <w:b/>
          <w:lang w:val="ro-RO"/>
        </w:rPr>
        <w:t xml:space="preserve"> 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750FBF">
        <w:rPr>
          <w:rFonts w:ascii="Times New Roman" w:hAnsi="Times New Roman" w:cs="Times New Roman"/>
          <w:b/>
          <w:lang w:val="ro-RO"/>
        </w:rPr>
        <w:t>luna IANUARIE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750FBF">
        <w:rPr>
          <w:rFonts w:ascii="Times New Roman" w:hAnsi="Times New Roman" w:cs="Times New Roman"/>
          <w:b/>
          <w:lang w:val="ro-RO"/>
        </w:rPr>
        <w:t>2022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a6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a6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a6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a6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A76918" w:rsidRPr="00641E30" w:rsidRDefault="00A4232A" w:rsidP="00A4232A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sectorului Ciocana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4B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Sinilga ȘCOLNIC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31539" w:rsidRPr="00641E30" w:rsidRDefault="00E31539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C3BDB" w:rsidRPr="00641E30" w:rsidRDefault="00CD1FB1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DA11C9" w:rsidRPr="00641E30" w:rsidRDefault="00DA11C9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E31539" w:rsidRPr="00641E30" w:rsidRDefault="00763DE8" w:rsidP="00E31539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roiectului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tiți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 extern programat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IET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norul străin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Măsuri de eficientizare energetică 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clădirii IET nr.225, bd.Mircea cel Bătrân,14/2,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mun.Ch</w:t>
            </w:r>
            <w:r w:rsidR="00771910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ișinău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307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prevede termenul de finalizare a lucrărilor de 1 an.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1.2. 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fectuarea lucrărilor de izolare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fațadei clădirii și înlocuirea conductelor de încălzire. 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Reparația acoperișului.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20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</w:p>
        </w:tc>
        <w:tc>
          <w:tcPr>
            <w:tcW w:w="4111" w:type="dxa"/>
          </w:tcPr>
          <w:p w:rsidR="00D66CF1" w:rsidRDefault="00750FBF" w:rsidP="00594642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03 – 28  ianuari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</w:p>
          <w:p w:rsidR="00D66CF1" w:rsidRDefault="00D66CF1" w:rsidP="00594642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CC13EB" w:rsidP="00594642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Șeful DETS sec.Ciocana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                              </w:t>
            </w:r>
          </w:p>
          <w:p w:rsidR="00722F41" w:rsidRPr="00641E30" w:rsidRDefault="00722F41" w:rsidP="00E31539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722F41" w:rsidP="00E31539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juristul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136133" w:rsidP="00E31539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contabilul AP Angela CHIRIȚĂ</w:t>
            </w:r>
          </w:p>
          <w:p w:rsidR="00750FBF" w:rsidRDefault="00722F41" w:rsidP="00E31539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inginerul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  <w:p w:rsidR="00750FBF" w:rsidRPr="00750FBF" w:rsidRDefault="00750FBF" w:rsidP="00750FBF">
            <w:pPr>
              <w:rPr>
                <w:lang w:val="ro-RO"/>
              </w:rPr>
            </w:pPr>
          </w:p>
          <w:p w:rsidR="00E31539" w:rsidRPr="00750FBF" w:rsidRDefault="00E31539" w:rsidP="00750FBF">
            <w:pPr>
              <w:rPr>
                <w:lang w:val="ro-RO"/>
              </w:rPr>
            </w:pP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A03CF0" w:rsidRDefault="0012089D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05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modificăr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buget pentru luna dece</w:t>
            </w:r>
            <w:r w:rsidR="00732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tabelelor din instituțiile preșcolare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preuniversitare.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Întroducerea m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ficărilor pentru luna decembrie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operativ FD-050 pe fiecare instituție aparte.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641E30" w:rsidRDefault="004E3773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750FBF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</w:t>
            </w:r>
            <w:r w:rsidR="009902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 ianuarie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4E3773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A03CF0" w:rsidRDefault="004E3773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produse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sanitaro – igienice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pentru luna decembrie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2021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notelor contabile.                                                         5.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6.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Centralizatorului cu Cartea Mare.          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Efectuarea casarii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activelor nemateriale.          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8.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Procesul anual de inventariere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</w:t>
            </w:r>
          </w:p>
          <w:p w:rsidR="00DA11C9" w:rsidRPr="00FB4021" w:rsidRDefault="004E3773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</w:p>
        </w:tc>
        <w:tc>
          <w:tcPr>
            <w:tcW w:w="4111" w:type="dxa"/>
          </w:tcPr>
          <w:p w:rsidR="00DA11C9" w:rsidRPr="00FB4021" w:rsidRDefault="00750FBF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– 28 ianuarie 2022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A03CF0" w:rsidRDefault="00722F41" w:rsidP="00FB4021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Publicarea ofertei „ </w:t>
            </w:r>
            <w:r w:rsidR="00C56BC4" w:rsidRPr="00C56BC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Apa potabilă pentru IET din secto</w:t>
            </w:r>
            <w:r w:rsid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r, anul 2022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Publicarea ofertei „ </w:t>
            </w:r>
            <w:r w:rsidR="00C56BC4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Servicii de furnizare a energiei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56BC4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electrice, anul 2022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3. Publicarea ofertei „ </w:t>
            </w:r>
            <w:r w:rsidR="00C56BC4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Servicii de avariere/curente</w:t>
            </w:r>
            <w:r w:rsidR="00A66ED7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/reparația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6ED7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utilajului/reparația rețelilor electrice, anul 2022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</w:p>
          <w:p w:rsidR="00DA11C9" w:rsidRPr="00E1598D" w:rsidRDefault="00722F41" w:rsidP="00FB4021">
            <w:pPr>
              <w:pStyle w:val="a6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</w:t>
            </w:r>
            <w:r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w:r w:rsidR="00FB402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750FBF" w:rsidP="00510EEA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03 - 28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20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 2022</w:t>
            </w:r>
          </w:p>
          <w:p w:rsidR="00990204" w:rsidRDefault="00634253" w:rsidP="00634253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       </w:t>
            </w:r>
            <w:r w:rsidR="00510EEA" w:rsidRPr="00FB4021">
              <w:rPr>
                <w:sz w:val="24"/>
                <w:szCs w:val="24"/>
                <w:lang w:val="ro-RO"/>
              </w:rPr>
              <w:t xml:space="preserve">            </w:t>
            </w: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</w:t>
            </w:r>
          </w:p>
          <w:p w:rsidR="00990204" w:rsidRDefault="00990204" w:rsidP="00990204">
            <w:pPr>
              <w:rPr>
                <w:sz w:val="24"/>
                <w:szCs w:val="24"/>
                <w:lang w:val="ro-RO"/>
              </w:rPr>
            </w:pPr>
          </w:p>
          <w:p w:rsidR="00CB5773" w:rsidRPr="00990204" w:rsidRDefault="00990204" w:rsidP="00990204">
            <w:pPr>
              <w:tabs>
                <w:tab w:val="left" w:pos="127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C56BC4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ontabil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A03CF0" w:rsidRDefault="001A5BA3" w:rsidP="00750FBF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01.01.2022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8.Descifrarea creanțelor și datoriilor la darea de seamă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12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luni.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9. Contribuția la înto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mirea dărilor de seamă pentru 12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 pregătirea formelor necesare, dărilor de seamă pe articole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:rsidR="00DA11C9" w:rsidRPr="00FB4021" w:rsidRDefault="00A60F53" w:rsidP="00750FBF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Pr="00FB4021" w:rsidRDefault="00750FBF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ianuarie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750FBF" w:rsidP="001A5B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28 ianuarie 2022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9A6BA5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28 ianuarie 2022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9A6BA5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15  ianuarie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2022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9A6BA5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până la 05 ianuarie 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2022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3808B4" w:rsidRDefault="009A6BA5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ianuarie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 xml:space="preserve"> 2022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</w:t>
            </w:r>
            <w:r w:rsidR="003808B4">
              <w:rPr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3808B4" w:rsidRDefault="003808B4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3808B4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</w:t>
            </w:r>
            <w:r w:rsidR="009A6BA5">
              <w:rPr>
                <w:sz w:val="24"/>
                <w:szCs w:val="24"/>
                <w:lang w:val="ro-RO"/>
              </w:rPr>
              <w:t>- 28 ianuarie 2022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</w:t>
            </w:r>
            <w:r w:rsidR="00A83CB7">
              <w:rPr>
                <w:sz w:val="24"/>
                <w:szCs w:val="24"/>
                <w:lang w:val="ro-RO"/>
              </w:rPr>
              <w:t xml:space="preserve">  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9A6BA5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ianuarie 2022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</w:t>
            </w:r>
            <w:r w:rsidR="00A83CB7">
              <w:rPr>
                <w:sz w:val="24"/>
                <w:szCs w:val="24"/>
                <w:lang w:val="ro-RO"/>
              </w:rPr>
              <w:t xml:space="preserve">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9A6BA5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ianuarie 2022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Default="00617714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4.Efectuarea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  <w:p w:rsidR="00A03CF0" w:rsidRPr="00FB4021" w:rsidRDefault="00A03CF0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5B50E9" w:rsidRPr="00FB4021" w:rsidRDefault="009A6BA5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– 28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 2022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3808B4" w:rsidRDefault="003808B4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decembrie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nr.5,5A pentru luna decembrie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Întocmirea,verificarea dării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seamă IPC-21 pentru luna 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Calcularea compensațiilor bănești pentru 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 decembrie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a cadrelor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chiriei 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tinerii specialiști (1000 lei)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ordi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DGETS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6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 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 pentru luna decembrie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603B0F" w:rsidRPr="0028324A" w:rsidRDefault="009A6BA5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–  28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622CC">
        <w:trPr>
          <w:trHeight w:val="699"/>
        </w:trPr>
        <w:tc>
          <w:tcPr>
            <w:tcW w:w="704" w:type="dxa"/>
          </w:tcPr>
          <w:p w:rsidR="005D6405" w:rsidRPr="0028324A" w:rsidRDefault="005D6405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7C26" w:rsidP="00EA7BE8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agenții economici contractan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Operatorii Economici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în prestarea serviciilor de alime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ntație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357C26" w:rsidP="00EA7BE8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Postarea pe FB și WEB detsciocana.educ.md ș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 instituțiilor de educație timpurie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informațiilor curente, relevant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despre procesul alimen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 .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5. Verificarea documentației necesare pentru elevii alimentați gratuit în i</w:t>
            </w:r>
            <w:r w:rsidR="00462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nstituțiile de învățmânt primar și secundar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7A3BEC" w:rsidRPr="0028324A" w:rsidRDefault="009A6BA5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03 - 28 ianuarie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D66CF1" w:rsidP="00973B2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</w:t>
            </w:r>
            <w:r w:rsidR="00973B25" w:rsidRPr="0028324A">
              <w:rPr>
                <w:sz w:val="24"/>
                <w:szCs w:val="24"/>
                <w:lang w:val="ro-RO"/>
              </w:rPr>
              <w:t>ilnic, conform unui grafic stabilit.</w:t>
            </w: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alimentația și evidența produselor alimentare Aurelia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a6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657FB7" w:rsidRPr="00657FB7" w:rsidRDefault="0012089D" w:rsidP="009A6BA5">
            <w:pPr>
              <w:pStyle w:val="a6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1.Reparația pavilio</w:t>
            </w:r>
            <w:r w:rsidR="00A03CF0">
              <w:rPr>
                <w:rFonts w:ascii="Times New Roman" w:hAnsi="Times New Roman" w:cs="Times New Roman"/>
                <w:lang w:val="ro-RO"/>
              </w:rPr>
              <w:t>anelor în IET nr.32,138,177,179,225.                           2.Reparația scărilor în IET nr.225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9A6BA5">
              <w:rPr>
                <w:rFonts w:ascii="Times New Roman" w:hAnsi="Times New Roman" w:cs="Times New Roman"/>
                <w:lang w:val="en-US"/>
              </w:rPr>
              <w:t>.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Îndeplinirea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A6BA5">
              <w:rPr>
                <w:rFonts w:ascii="Times New Roman" w:hAnsi="Times New Roman" w:cs="Times New Roman"/>
                <w:lang w:val="en-US"/>
              </w:rPr>
              <w:t>.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îndeplinite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IET nr.225 </w:t>
            </w:r>
            <w:r w:rsidR="009A6BA5">
              <w:rPr>
                <w:rFonts w:ascii="Times New Roman" w:hAnsi="Times New Roman" w:cs="Times New Roman"/>
                <w:lang w:val="en-US"/>
              </w:rPr>
              <w:t xml:space="preserve">conform </w:t>
            </w:r>
            <w:proofErr w:type="spellStart"/>
            <w:r w:rsidR="009A6BA5">
              <w:rPr>
                <w:rFonts w:ascii="Times New Roman" w:hAnsi="Times New Roman" w:cs="Times New Roman"/>
                <w:lang w:val="en-US"/>
              </w:rPr>
              <w:t>Proiectului</w:t>
            </w:r>
            <w:proofErr w:type="spellEnd"/>
            <w:r w:rsidR="009A6B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6BA5">
              <w:rPr>
                <w:rFonts w:ascii="Times New Roman" w:hAnsi="Times New Roman" w:cs="Times New Roman"/>
                <w:lang w:val="en-US"/>
              </w:rPr>
              <w:t>investițional</w:t>
            </w:r>
            <w:proofErr w:type="spellEnd"/>
            <w:r w:rsidR="009A6BA5">
              <w:rPr>
                <w:rFonts w:ascii="Times New Roman" w:hAnsi="Times New Roman" w:cs="Times New Roman"/>
                <w:lang w:val="en-US"/>
              </w:rPr>
              <w:t xml:space="preserve"> extern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– BERD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EA7BE8" w:rsidRDefault="00FF5357" w:rsidP="003569A1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9A6BA5">
              <w:rPr>
                <w:rFonts w:ascii="Times New Roman" w:hAnsi="Times New Roman" w:cs="Times New Roman"/>
                <w:lang w:val="ro-RO"/>
              </w:rPr>
              <w:t>3</w:t>
            </w:r>
            <w:r w:rsidR="00357C2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lang w:val="ro-RO"/>
              </w:rPr>
              <w:t>– 28 ianuarie 2022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</w:t>
            </w:r>
            <w:r w:rsidR="003808B4">
              <w:rPr>
                <w:rFonts w:ascii="Times New Roman" w:hAnsi="Times New Roman" w:cs="Times New Roman"/>
                <w:lang w:val="en-US"/>
              </w:rPr>
              <w:t xml:space="preserve">: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Natalia SAV</w:t>
            </w:r>
            <w:r w:rsidR="003808B4">
              <w:rPr>
                <w:rFonts w:ascii="Times New Roman" w:hAnsi="Times New Roman" w:cs="Times New Roman"/>
                <w:lang w:val="ro-RO"/>
              </w:rPr>
              <w:t xml:space="preserve">LUC, </w:t>
            </w:r>
            <w:r>
              <w:rPr>
                <w:rFonts w:ascii="Times New Roman" w:hAnsi="Times New Roman" w:cs="Times New Roman"/>
                <w:lang w:val="ro-RO"/>
              </w:rPr>
              <w:t>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4A4D71" w:rsidRDefault="00F25AC6" w:rsidP="004A4D71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acțivităților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organizarea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eficientă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decizional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informațional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postările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sectorul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</w:p>
        </w:tc>
        <w:tc>
          <w:tcPr>
            <w:tcW w:w="4111" w:type="dxa"/>
          </w:tcPr>
          <w:p w:rsidR="004A4D71" w:rsidRDefault="004A4D71" w:rsidP="003569A1">
            <w:pPr>
              <w:pStyle w:val="a6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lang w:val="ro-RO"/>
              </w:rPr>
              <w:t>03 – 28 ianuarie</w:t>
            </w:r>
            <w:r w:rsidR="00FF535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lang w:val="ro-RO"/>
              </w:rPr>
              <w:t xml:space="preserve"> 2022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a6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984E5B" w:rsidRDefault="00E31539" w:rsidP="00861153">
      <w:pPr>
        <w:pStyle w:val="a6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D66CF1" w:rsidRDefault="00E31539" w:rsidP="00861153">
      <w:pPr>
        <w:pStyle w:val="a6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</w:t>
      </w:r>
      <w:r w:rsidR="00D66CF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</w:t>
      </w:r>
    </w:p>
    <w:p w:rsidR="002F2F62" w:rsidRDefault="00D66CF1" w:rsidP="00861153">
      <w:pPr>
        <w:pStyle w:val="a6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>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585956" w:rsidRDefault="00585956" w:rsidP="00861153">
      <w:pPr>
        <w:pStyle w:val="a6"/>
        <w:spacing w:before="80" w:after="80"/>
        <w:rPr>
          <w:rFonts w:ascii="Times New Roman" w:hAnsi="Times New Roman" w:cs="Times New Roman"/>
          <w:b/>
          <w:lang w:val="ro-RO"/>
        </w:rPr>
      </w:pPr>
    </w:p>
    <w:p w:rsidR="000736EE" w:rsidRDefault="000736EE" w:rsidP="00861153">
      <w:pPr>
        <w:pStyle w:val="a6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0736EE" w:rsidRDefault="000736EE" w:rsidP="00861153">
      <w:pPr>
        <w:pStyle w:val="a6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a6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a6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461B1E" w:rsidRDefault="00F25AC6" w:rsidP="00861153">
      <w:pPr>
        <w:pStyle w:val="a6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</w:t>
      </w:r>
    </w:p>
    <w:p w:rsidR="009A6BA5" w:rsidRDefault="00461B1E" w:rsidP="00861153">
      <w:pPr>
        <w:pStyle w:val="a6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</w:t>
      </w:r>
      <w:r w:rsidR="00F25AC6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</w:t>
      </w:r>
    </w:p>
    <w:p w:rsidR="009A6BA5" w:rsidRDefault="009A6BA5" w:rsidP="00861153">
      <w:pPr>
        <w:pStyle w:val="a6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9A6BA5" w:rsidRDefault="009A6BA5" w:rsidP="00861153">
      <w:pPr>
        <w:pStyle w:val="a6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861153" w:rsidRPr="003808B4" w:rsidRDefault="009A6BA5" w:rsidP="00861153">
      <w:pPr>
        <w:pStyle w:val="a6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A.Ivlev  079563404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25595" w:rsidRDefault="00861153" w:rsidP="00D51BC4">
      <w:pPr>
        <w:pStyle w:val="a6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   </w:t>
      </w:r>
    </w:p>
    <w:p w:rsidR="00A409E7" w:rsidRDefault="00C25595" w:rsidP="00D51BC4">
      <w:pPr>
        <w:pStyle w:val="a6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A03CF0" w:rsidRDefault="00A409E7" w:rsidP="00D51BC4">
      <w:pPr>
        <w:pStyle w:val="a6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 w:rsidR="00A03CF0">
        <w:rPr>
          <w:rFonts w:ascii="Times New Roman" w:hAnsi="Times New Roman" w:cs="Times New Roman"/>
          <w:lang w:val="ro-RO"/>
        </w:rPr>
        <w:t xml:space="preserve">                   </w:t>
      </w:r>
    </w:p>
    <w:p w:rsidR="00461B1E" w:rsidRPr="00B90EBF" w:rsidRDefault="00A03CF0" w:rsidP="00D51BC4">
      <w:pPr>
        <w:pStyle w:val="a6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461B1E" w:rsidRDefault="00461B1E" w:rsidP="00D51BC4">
      <w:pPr>
        <w:pStyle w:val="a6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461B1E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BE" w:rsidRDefault="00B50FBE" w:rsidP="00213BCF">
      <w:pPr>
        <w:spacing w:after="0" w:line="240" w:lineRule="auto"/>
      </w:pPr>
      <w:r>
        <w:separator/>
      </w:r>
    </w:p>
  </w:endnote>
  <w:endnote w:type="continuationSeparator" w:id="0">
    <w:p w:rsidR="00B50FBE" w:rsidRDefault="00B50FBE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BE" w:rsidRDefault="00B50FBE" w:rsidP="00213BCF">
      <w:pPr>
        <w:spacing w:after="0" w:line="240" w:lineRule="auto"/>
      </w:pPr>
      <w:r>
        <w:separator/>
      </w:r>
    </w:p>
  </w:footnote>
  <w:footnote w:type="continuationSeparator" w:id="0">
    <w:p w:rsidR="00B50FBE" w:rsidRDefault="00B50FBE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B50FB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B50FB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1504E"/>
    <w:rsid w:val="0001796E"/>
    <w:rsid w:val="00021ADB"/>
    <w:rsid w:val="00035A31"/>
    <w:rsid w:val="00040D7C"/>
    <w:rsid w:val="000436ED"/>
    <w:rsid w:val="00050879"/>
    <w:rsid w:val="000736EE"/>
    <w:rsid w:val="00073FF1"/>
    <w:rsid w:val="00075D2F"/>
    <w:rsid w:val="0008772F"/>
    <w:rsid w:val="000A04B2"/>
    <w:rsid w:val="000A1B8F"/>
    <w:rsid w:val="000A4ACD"/>
    <w:rsid w:val="000A67D2"/>
    <w:rsid w:val="000D5D3E"/>
    <w:rsid w:val="000E34B1"/>
    <w:rsid w:val="000E502A"/>
    <w:rsid w:val="00101105"/>
    <w:rsid w:val="00102D32"/>
    <w:rsid w:val="001057FA"/>
    <w:rsid w:val="00111CB4"/>
    <w:rsid w:val="00112206"/>
    <w:rsid w:val="0012089D"/>
    <w:rsid w:val="00121181"/>
    <w:rsid w:val="0012412B"/>
    <w:rsid w:val="00126FCA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70709"/>
    <w:rsid w:val="0017416B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1F7E40"/>
    <w:rsid w:val="00205089"/>
    <w:rsid w:val="0021126B"/>
    <w:rsid w:val="00213BCF"/>
    <w:rsid w:val="00224789"/>
    <w:rsid w:val="002359F9"/>
    <w:rsid w:val="00252879"/>
    <w:rsid w:val="002544D0"/>
    <w:rsid w:val="00254CE9"/>
    <w:rsid w:val="00255E43"/>
    <w:rsid w:val="00266F7B"/>
    <w:rsid w:val="00275A1A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42F3"/>
    <w:rsid w:val="002F7506"/>
    <w:rsid w:val="00305548"/>
    <w:rsid w:val="00310F4E"/>
    <w:rsid w:val="00315989"/>
    <w:rsid w:val="003229E8"/>
    <w:rsid w:val="0032675D"/>
    <w:rsid w:val="003437C0"/>
    <w:rsid w:val="00350E1D"/>
    <w:rsid w:val="00351045"/>
    <w:rsid w:val="00354726"/>
    <w:rsid w:val="003569A1"/>
    <w:rsid w:val="00357C26"/>
    <w:rsid w:val="00360478"/>
    <w:rsid w:val="00362726"/>
    <w:rsid w:val="003711DF"/>
    <w:rsid w:val="003808B4"/>
    <w:rsid w:val="003928F1"/>
    <w:rsid w:val="0039299D"/>
    <w:rsid w:val="003A3157"/>
    <w:rsid w:val="003C45A2"/>
    <w:rsid w:val="003D65FE"/>
    <w:rsid w:val="003E4989"/>
    <w:rsid w:val="00400885"/>
    <w:rsid w:val="00414819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622CC"/>
    <w:rsid w:val="0048004A"/>
    <w:rsid w:val="00486F5F"/>
    <w:rsid w:val="0049582B"/>
    <w:rsid w:val="00495E56"/>
    <w:rsid w:val="004A4D71"/>
    <w:rsid w:val="004A54CA"/>
    <w:rsid w:val="004B22EA"/>
    <w:rsid w:val="004B5C90"/>
    <w:rsid w:val="004C1D8B"/>
    <w:rsid w:val="004C41A2"/>
    <w:rsid w:val="004D6C53"/>
    <w:rsid w:val="004E3773"/>
    <w:rsid w:val="0050424B"/>
    <w:rsid w:val="00504956"/>
    <w:rsid w:val="00510EEA"/>
    <w:rsid w:val="00515A25"/>
    <w:rsid w:val="00523BB2"/>
    <w:rsid w:val="005302FB"/>
    <w:rsid w:val="00547F8D"/>
    <w:rsid w:val="00561B9E"/>
    <w:rsid w:val="00563715"/>
    <w:rsid w:val="00564255"/>
    <w:rsid w:val="00565C46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B50E9"/>
    <w:rsid w:val="005D41F2"/>
    <w:rsid w:val="005D58A7"/>
    <w:rsid w:val="005D6405"/>
    <w:rsid w:val="005E00CC"/>
    <w:rsid w:val="005E272A"/>
    <w:rsid w:val="005F0189"/>
    <w:rsid w:val="00603B0F"/>
    <w:rsid w:val="00614871"/>
    <w:rsid w:val="00617714"/>
    <w:rsid w:val="006255F8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B7747"/>
    <w:rsid w:val="006D5225"/>
    <w:rsid w:val="006E6F24"/>
    <w:rsid w:val="006F0E3A"/>
    <w:rsid w:val="006F3B17"/>
    <w:rsid w:val="006F6735"/>
    <w:rsid w:val="00722F41"/>
    <w:rsid w:val="0073231F"/>
    <w:rsid w:val="0073674A"/>
    <w:rsid w:val="00737235"/>
    <w:rsid w:val="00750FBF"/>
    <w:rsid w:val="00763DE8"/>
    <w:rsid w:val="007677FB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B6133"/>
    <w:rsid w:val="007C6750"/>
    <w:rsid w:val="007C746E"/>
    <w:rsid w:val="007D002C"/>
    <w:rsid w:val="007E2EBA"/>
    <w:rsid w:val="007F1D15"/>
    <w:rsid w:val="007F3530"/>
    <w:rsid w:val="00803882"/>
    <w:rsid w:val="008049CC"/>
    <w:rsid w:val="00805D88"/>
    <w:rsid w:val="008121AE"/>
    <w:rsid w:val="00820E58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6828"/>
    <w:rsid w:val="0097111F"/>
    <w:rsid w:val="00973B25"/>
    <w:rsid w:val="00977339"/>
    <w:rsid w:val="00984E5B"/>
    <w:rsid w:val="00990204"/>
    <w:rsid w:val="00996826"/>
    <w:rsid w:val="009A6BA5"/>
    <w:rsid w:val="009C0256"/>
    <w:rsid w:val="009C15B3"/>
    <w:rsid w:val="009C1EEE"/>
    <w:rsid w:val="009F3423"/>
    <w:rsid w:val="00A03559"/>
    <w:rsid w:val="00A03CF0"/>
    <w:rsid w:val="00A07A40"/>
    <w:rsid w:val="00A232F0"/>
    <w:rsid w:val="00A32BBA"/>
    <w:rsid w:val="00A33835"/>
    <w:rsid w:val="00A33A18"/>
    <w:rsid w:val="00A409E7"/>
    <w:rsid w:val="00A4232A"/>
    <w:rsid w:val="00A50F6E"/>
    <w:rsid w:val="00A5728C"/>
    <w:rsid w:val="00A60F53"/>
    <w:rsid w:val="00A62A21"/>
    <w:rsid w:val="00A66ED7"/>
    <w:rsid w:val="00A76779"/>
    <w:rsid w:val="00A76918"/>
    <w:rsid w:val="00A76AA5"/>
    <w:rsid w:val="00A80404"/>
    <w:rsid w:val="00A8157D"/>
    <w:rsid w:val="00A83CB7"/>
    <w:rsid w:val="00A93B82"/>
    <w:rsid w:val="00A950FC"/>
    <w:rsid w:val="00A95C61"/>
    <w:rsid w:val="00A966C5"/>
    <w:rsid w:val="00AA5601"/>
    <w:rsid w:val="00AA5D59"/>
    <w:rsid w:val="00AB43EF"/>
    <w:rsid w:val="00AB4523"/>
    <w:rsid w:val="00AB4BC6"/>
    <w:rsid w:val="00AB554E"/>
    <w:rsid w:val="00AC5065"/>
    <w:rsid w:val="00AC522D"/>
    <w:rsid w:val="00AD2C08"/>
    <w:rsid w:val="00AD3A4A"/>
    <w:rsid w:val="00AD3DDE"/>
    <w:rsid w:val="00AD4264"/>
    <w:rsid w:val="00AF261F"/>
    <w:rsid w:val="00B04EC3"/>
    <w:rsid w:val="00B0552B"/>
    <w:rsid w:val="00B06E24"/>
    <w:rsid w:val="00B1600D"/>
    <w:rsid w:val="00B22DF2"/>
    <w:rsid w:val="00B23FBF"/>
    <w:rsid w:val="00B24FDB"/>
    <w:rsid w:val="00B50FBE"/>
    <w:rsid w:val="00B71EB0"/>
    <w:rsid w:val="00B90EBF"/>
    <w:rsid w:val="00B94F58"/>
    <w:rsid w:val="00BA099C"/>
    <w:rsid w:val="00BA54B1"/>
    <w:rsid w:val="00BA615B"/>
    <w:rsid w:val="00BC4354"/>
    <w:rsid w:val="00BE2B7A"/>
    <w:rsid w:val="00BE3469"/>
    <w:rsid w:val="00C00F19"/>
    <w:rsid w:val="00C106B8"/>
    <w:rsid w:val="00C2017D"/>
    <w:rsid w:val="00C25595"/>
    <w:rsid w:val="00C42A0C"/>
    <w:rsid w:val="00C56BC4"/>
    <w:rsid w:val="00C61941"/>
    <w:rsid w:val="00C641F2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5EFB"/>
    <w:rsid w:val="00CF4330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70D1"/>
    <w:rsid w:val="00D83935"/>
    <w:rsid w:val="00D83DBB"/>
    <w:rsid w:val="00D95037"/>
    <w:rsid w:val="00DA11C9"/>
    <w:rsid w:val="00DA2550"/>
    <w:rsid w:val="00DA7CCE"/>
    <w:rsid w:val="00DB0EF2"/>
    <w:rsid w:val="00DC2BB1"/>
    <w:rsid w:val="00DC6A9C"/>
    <w:rsid w:val="00DE06F3"/>
    <w:rsid w:val="00DE29AC"/>
    <w:rsid w:val="00DF65A5"/>
    <w:rsid w:val="00DF7F91"/>
    <w:rsid w:val="00E06C3B"/>
    <w:rsid w:val="00E07A04"/>
    <w:rsid w:val="00E1598D"/>
    <w:rsid w:val="00E31539"/>
    <w:rsid w:val="00E35A3B"/>
    <w:rsid w:val="00E374F4"/>
    <w:rsid w:val="00E447C3"/>
    <w:rsid w:val="00E618D5"/>
    <w:rsid w:val="00EA6738"/>
    <w:rsid w:val="00EA7BE8"/>
    <w:rsid w:val="00EB245A"/>
    <w:rsid w:val="00EC3BDB"/>
    <w:rsid w:val="00ED7A74"/>
    <w:rsid w:val="00EE3732"/>
    <w:rsid w:val="00EF29EC"/>
    <w:rsid w:val="00F11419"/>
    <w:rsid w:val="00F150D2"/>
    <w:rsid w:val="00F21711"/>
    <w:rsid w:val="00F25AC6"/>
    <w:rsid w:val="00F3016F"/>
    <w:rsid w:val="00F31BDB"/>
    <w:rsid w:val="00F3473F"/>
    <w:rsid w:val="00F358A7"/>
    <w:rsid w:val="00F54528"/>
    <w:rsid w:val="00F60CEF"/>
    <w:rsid w:val="00F6216E"/>
    <w:rsid w:val="00F643C9"/>
    <w:rsid w:val="00F66F4C"/>
    <w:rsid w:val="00F67D57"/>
    <w:rsid w:val="00FA1DCB"/>
    <w:rsid w:val="00FB17C1"/>
    <w:rsid w:val="00FB4021"/>
    <w:rsid w:val="00FD0A7E"/>
    <w:rsid w:val="00FF5357"/>
    <w:rsid w:val="00FF5F91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B1"/>
  </w:style>
  <w:style w:type="paragraph" w:styleId="1">
    <w:name w:val="heading 1"/>
    <w:basedOn w:val="a"/>
    <w:next w:val="a"/>
    <w:link w:val="10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3">
    <w:name w:val="heading 3"/>
    <w:basedOn w:val="a"/>
    <w:next w:val="a"/>
    <w:link w:val="30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a6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a7">
    <w:name w:val="Hyperlink"/>
    <w:uiPriority w:val="99"/>
    <w:unhideWhenUsed/>
    <w:rsid w:val="0040088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3BCF"/>
  </w:style>
  <w:style w:type="paragraph" w:styleId="aa">
    <w:name w:val="footer"/>
    <w:basedOn w:val="a"/>
    <w:link w:val="ab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3BCF"/>
  </w:style>
  <w:style w:type="character" w:customStyle="1" w:styleId="10">
    <w:name w:val="Заголовок 1 Знак"/>
    <w:basedOn w:val="a0"/>
    <w:link w:val="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ac">
    <w:name w:val="List Paragraph"/>
    <w:basedOn w:val="a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70E8-F771-4043-AEC7-9A51B8FB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2347</Words>
  <Characters>13379</Characters>
  <Application>Microsoft Office Word</Application>
  <DocSecurity>0</DocSecurity>
  <Lines>111</Lines>
  <Paragraphs>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2</cp:revision>
  <cp:lastPrinted>2021-09-28T13:34:00Z</cp:lastPrinted>
  <dcterms:created xsi:type="dcterms:W3CDTF">2021-12-29T13:11:00Z</dcterms:created>
  <dcterms:modified xsi:type="dcterms:W3CDTF">2021-12-29T13:11:00Z</dcterms:modified>
</cp:coreProperties>
</file>