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BC4354">
        <w:rPr>
          <w:rFonts w:ascii="Times New Roman" w:hAnsi="Times New Roman" w:cs="Times New Roman"/>
          <w:b/>
          <w:lang w:val="ro-RO"/>
        </w:rPr>
        <w:t xml:space="preserve">DE DETS sectorul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DA7CCE">
        <w:rPr>
          <w:rFonts w:ascii="Times New Roman" w:hAnsi="Times New Roman" w:cs="Times New Roman"/>
          <w:b/>
          <w:lang w:val="ro-RO"/>
        </w:rPr>
        <w:t>luna  IUL</w:t>
      </w:r>
      <w:r w:rsidR="00BC4354">
        <w:rPr>
          <w:rFonts w:ascii="Times New Roman" w:hAnsi="Times New Roman" w:cs="Times New Roman"/>
          <w:b/>
          <w:lang w:val="ro-RO"/>
        </w:rPr>
        <w:t>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torul sectorului Ciocana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Elena TRIBOI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roiectelor 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onale externe programate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se va finaliza la 31.08. 2021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1.2. Efectuarea lucrărilor de izolație a fațadei clădirii și înlocuirea conductelor de încălzire.    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Renovarea pavajului la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naliza Instrucțiunii cu privir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la implementarea Proiectului;              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bținerea Certificatului de Urbanism de la Direcția Generală Arhitectură, Urbanism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Relații Funciare;                             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nregistrarea proiectului cu nr.ID 871186115706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deschi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derea contului bancar de către Ministerul Finanțelor a RM;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eschiderea contului bancar în valută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națională/ în dolari americani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Trezorerie.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D66CF1" w:rsidRDefault="0017070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 parcursul lunii iulie 2021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Șeful DETS sec.Ciocana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C90A4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Prezentarea și totalizarea raportului FD – 048 BL rețea</w:t>
            </w:r>
            <w:r w:rsidR="00984E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state și conti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ngente la data de 01.07.2021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2. Întocmirea modificări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la buget pentru luna iul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odificărilor pentru luna iul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6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Prezentarea Raportului I.M.(munca) trimestrial , la data de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01.07.2021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7.Prezentarea formei FD – 053 raport privind performanța pe programe/subprograme la data de 01.07.2021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A93B8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30 iul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 materiale pentru luna iunie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4.Înregistrarea notelor contabile.                                                         5.Întocmirea rulajului lunar pe materiale.                                                  6.Verificarea Centralizatorului cu Cartea Mare.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 iul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materială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procedu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rii de achiziții. Licitație deschisă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Mobilier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pentru  instituțiile 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învățământ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din subordinea DETS sec.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Ciocana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anul 2021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Înche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erea contractelor la 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achiziț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A4D7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Inventar moale (lengerie de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pat,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plapume,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perne,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prosoape,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saltele,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cuverturi,</w:t>
            </w:r>
            <w:r w:rsidR="004E377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șorțuri și bonete)  pentru instituții subordonate DETS sec.Ciocana”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3.Publicarea procedurii de achiziții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Produse de igienă: detergenți și dezinfectanți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 instituț</w:t>
            </w:r>
            <w:r w:rsidR="00FF6B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iile subordonate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DETS sec.Ciocana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A60F53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01-30 iul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CB5773" w:rsidRPr="00FB4021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01.07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bookmarkStart w:id="0" w:name="_GoBack"/>
            <w:bookmarkEnd w:id="0"/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7.Contribuția la alcătuirea Dării de seamă pentru 6 luni.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A60F5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iul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A60F53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iul</w:t>
            </w:r>
            <w:r w:rsidR="00FF6B24">
              <w:rPr>
                <w:sz w:val="24"/>
                <w:szCs w:val="24"/>
                <w:lang w:val="ro-RO"/>
              </w:rPr>
              <w:t>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A60F53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iul</w:t>
            </w:r>
            <w:r w:rsidR="00FF6B24">
              <w:rPr>
                <w:sz w:val="24"/>
                <w:szCs w:val="24"/>
                <w:lang w:val="ro-RO"/>
              </w:rPr>
              <w:t>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A60F53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 – 30 iul</w:t>
            </w:r>
            <w:r w:rsidR="00FF6B24">
              <w:rPr>
                <w:sz w:val="24"/>
                <w:szCs w:val="24"/>
                <w:lang w:val="ro-RO"/>
              </w:rPr>
              <w:t>ie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A60F53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iul</w:t>
            </w:r>
            <w:r w:rsidR="00FF6B24">
              <w:rPr>
                <w:sz w:val="24"/>
                <w:szCs w:val="24"/>
                <w:lang w:val="ro-RO"/>
              </w:rPr>
              <w:t>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A60F53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iul</w:t>
            </w:r>
            <w:r w:rsidR="00FF6B24">
              <w:rPr>
                <w:sz w:val="24"/>
                <w:szCs w:val="24"/>
                <w:lang w:val="ro-RO"/>
              </w:rPr>
              <w:t>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                              </w:t>
            </w:r>
          </w:p>
          <w:p w:rsidR="00617714" w:rsidRPr="00FB4021" w:rsidRDefault="00D66CF1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15.07.2021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tabelelor, verificarea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A60F5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iul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iunie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nr.5,5A pentru luna iunie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seamă IPC-21 pentru luna iunie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luna iunie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inea Direcției pentru luna iulie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A60F5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30 iul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C41A2">
        <w:trPr>
          <w:trHeight w:val="108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69A1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Încheerea contractelor</w:t>
            </w:r>
            <w:r w:rsidR="00154D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procedura de achiziții publice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LP „</w:t>
            </w:r>
            <w:r w:rsidR="005B50E9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Produse alimentare </w:t>
            </w:r>
            <w:r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pent</w:t>
            </w:r>
            <w:r w:rsidR="005B50E9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ru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a II </w:t>
            </w:r>
            <w:r w:rsidR="0028324A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jumătate a anului</w:t>
            </w:r>
            <w:r w:rsidR="005B50E9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28324A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2021 </w:t>
            </w:r>
            <w:r w:rsidR="005B50E9" w:rsidRPr="00154D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(iulie – decembrie)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OE în instituțiile de educație timpurie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sector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4. Prezentarea Raportului pentru I jumătate a anului 2021 despre organizarea procesului de alimentație în sector.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 DETS în prestarea serviciilor de alime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ntare de calitate 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agenții economici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AB554E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154DC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01- 30 iul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B90EBF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1. Monitorizarea executării contractelor</w:t>
            </w:r>
            <w:r w:rsidR="00973B2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57FB7">
              <w:rPr>
                <w:rFonts w:ascii="Times New Roman" w:hAnsi="Times New Roman" w:cs="Times New Roman"/>
                <w:lang w:val="ro-RO"/>
              </w:rPr>
              <w:t>pentru îndeplinirea lucrări</w:t>
            </w:r>
            <w:r w:rsidR="00AB554E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lor de reparații capitale </w:t>
            </w:r>
            <w:r w:rsidR="000736EE">
              <w:rPr>
                <w:rFonts w:ascii="Times New Roman" w:hAnsi="Times New Roman" w:cs="Times New Roman"/>
                <w:lang w:val="ro-RO"/>
              </w:rPr>
              <w:t>în instituțiile de educație timpurie</w:t>
            </w:r>
            <w:r w:rsidR="00AB554E">
              <w:rPr>
                <w:rFonts w:ascii="Times New Roman" w:hAnsi="Times New Roman" w:cs="Times New Roman"/>
                <w:lang w:val="ro-RO"/>
              </w:rPr>
              <w:t xml:space="preserve"> nr.32,130,    135,138,155,161,177,179,188,197,211 -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57FB7">
              <w:rPr>
                <w:rFonts w:ascii="Times New Roman" w:hAnsi="Times New Roman" w:cs="Times New Roman"/>
                <w:lang w:val="ro-RO"/>
              </w:rPr>
              <w:t>conform F</w:t>
            </w:r>
            <w:r w:rsidR="009C0256">
              <w:rPr>
                <w:rFonts w:ascii="Times New Roman" w:hAnsi="Times New Roman" w:cs="Times New Roman"/>
                <w:lang w:val="ro-RO"/>
              </w:rPr>
              <w:t xml:space="preserve">oii de Titlu 2021 și </w:t>
            </w:r>
            <w:r w:rsidR="00AB554E">
              <w:rPr>
                <w:rFonts w:ascii="Times New Roman" w:hAnsi="Times New Roman" w:cs="Times New Roman"/>
                <w:lang w:val="ro-RO"/>
              </w:rPr>
              <w:t>în instituțiile preuniversitare – șc.prim.nr.83, LT„P.Zadnipru”</w:t>
            </w:r>
            <w:r w:rsidR="00D66CF1">
              <w:rPr>
                <w:rFonts w:ascii="Times New Roman" w:hAnsi="Times New Roman" w:cs="Times New Roman"/>
                <w:lang w:val="ro-RO"/>
              </w:rPr>
              <w:t>, -</w:t>
            </w:r>
            <w:r w:rsidR="009C0256">
              <w:rPr>
                <w:rFonts w:ascii="Times New Roman" w:hAnsi="Times New Roman" w:cs="Times New Roman"/>
                <w:lang w:val="ro-RO"/>
              </w:rPr>
              <w:t>conform formulei.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2.Îndeplinirea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3.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66CF1">
              <w:rPr>
                <w:rFonts w:ascii="Times New Roman" w:hAnsi="Times New Roman" w:cs="Times New Roman"/>
                <w:lang w:val="en-US"/>
              </w:rPr>
              <w:t>– BERD.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AB554E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01 -30 iul</w:t>
            </w:r>
            <w:r w:rsidR="0021126B">
              <w:rPr>
                <w:rFonts w:ascii="Times New Roman" w:hAnsi="Times New Roman" w:cs="Times New Roman"/>
                <w:lang w:val="ro-RO"/>
              </w:rPr>
              <w:t>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 Natalia SAVLUC                             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sec.Ciocana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75A1A">
              <w:rPr>
                <w:rFonts w:ascii="Times New Roman" w:hAnsi="Times New Roman" w:cs="Times New Roman"/>
                <w:lang w:val="ro-RO"/>
              </w:rPr>
              <w:t>01 – 30</w:t>
            </w:r>
            <w:r w:rsidR="00D66CF1">
              <w:rPr>
                <w:rFonts w:ascii="Times New Roman" w:hAnsi="Times New Roman" w:cs="Times New Roman"/>
                <w:lang w:val="ro-RO"/>
              </w:rPr>
              <w:t xml:space="preserve"> iul</w:t>
            </w:r>
            <w:r w:rsidR="0021126B">
              <w:rPr>
                <w:rFonts w:ascii="Times New Roman" w:hAnsi="Times New Roman" w:cs="Times New Roman"/>
                <w:lang w:val="ro-RO"/>
              </w:rPr>
              <w:t xml:space="preserve">ie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861153" w:rsidRPr="00D66CF1" w:rsidRDefault="00461B1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</w:t>
      </w:r>
      <w:r w:rsidR="00F25AC6">
        <w:rPr>
          <w:rFonts w:ascii="Times New Roman" w:hAnsi="Times New Roman" w:cs="Times New Roman"/>
          <w:sz w:val="16"/>
          <w:szCs w:val="16"/>
          <w:lang w:val="ro-RO"/>
        </w:rPr>
        <w:t xml:space="preserve">  </w:t>
      </w:r>
      <w:r w:rsidR="003A3157">
        <w:rPr>
          <w:rFonts w:ascii="Times New Roman" w:hAnsi="Times New Roman" w:cs="Times New Roman"/>
          <w:sz w:val="16"/>
          <w:szCs w:val="16"/>
          <w:lang w:val="ro-RO"/>
        </w:rPr>
        <w:t>e</w:t>
      </w:r>
      <w:r w:rsidR="00861153" w:rsidRPr="00861153">
        <w:rPr>
          <w:rFonts w:ascii="Times New Roman" w:hAnsi="Times New Roman" w:cs="Times New Roman"/>
          <w:sz w:val="16"/>
          <w:szCs w:val="16"/>
          <w:lang w:val="ro-RO"/>
        </w:rPr>
        <w:t>x.</w:t>
      </w:r>
      <w:r w:rsidR="003A3157">
        <w:rPr>
          <w:rFonts w:ascii="Times New Roman" w:hAnsi="Times New Roman" w:cs="Times New Roman"/>
          <w:sz w:val="16"/>
          <w:szCs w:val="16"/>
          <w:lang w:val="ro-RO"/>
        </w:rPr>
        <w:t>A.Ivlev  079563404</w:t>
      </w:r>
      <w:r w:rsidR="00861153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F9" w:rsidRDefault="002359F9" w:rsidP="00213BCF">
      <w:pPr>
        <w:spacing w:after="0" w:line="240" w:lineRule="auto"/>
      </w:pPr>
      <w:r>
        <w:separator/>
      </w:r>
    </w:p>
  </w:endnote>
  <w:endnote w:type="continuationSeparator" w:id="0">
    <w:p w:rsidR="002359F9" w:rsidRDefault="002359F9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F9" w:rsidRDefault="002359F9" w:rsidP="00213BCF">
      <w:pPr>
        <w:spacing w:after="0" w:line="240" w:lineRule="auto"/>
      </w:pPr>
      <w:r>
        <w:separator/>
      </w:r>
    </w:p>
  </w:footnote>
  <w:footnote w:type="continuationSeparator" w:id="0">
    <w:p w:rsidR="002359F9" w:rsidRDefault="002359F9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2359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2359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1504E"/>
    <w:rsid w:val="0001796E"/>
    <w:rsid w:val="00021ADB"/>
    <w:rsid w:val="00035A31"/>
    <w:rsid w:val="00040D7C"/>
    <w:rsid w:val="00050879"/>
    <w:rsid w:val="000736EE"/>
    <w:rsid w:val="00073FF1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1181"/>
    <w:rsid w:val="0012412B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21126B"/>
    <w:rsid w:val="00213BCF"/>
    <w:rsid w:val="00224789"/>
    <w:rsid w:val="002359F9"/>
    <w:rsid w:val="002544D0"/>
    <w:rsid w:val="00254CE9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0F4E"/>
    <w:rsid w:val="00315989"/>
    <w:rsid w:val="0032675D"/>
    <w:rsid w:val="003437C0"/>
    <w:rsid w:val="00350E1D"/>
    <w:rsid w:val="00351045"/>
    <w:rsid w:val="00354726"/>
    <w:rsid w:val="003569A1"/>
    <w:rsid w:val="00360478"/>
    <w:rsid w:val="003711DF"/>
    <w:rsid w:val="003928F1"/>
    <w:rsid w:val="0039299D"/>
    <w:rsid w:val="003A3157"/>
    <w:rsid w:val="003C45A2"/>
    <w:rsid w:val="00400885"/>
    <w:rsid w:val="004245D3"/>
    <w:rsid w:val="00430255"/>
    <w:rsid w:val="00430D21"/>
    <w:rsid w:val="00432AC4"/>
    <w:rsid w:val="004335E7"/>
    <w:rsid w:val="00454FCC"/>
    <w:rsid w:val="00461B1E"/>
    <w:rsid w:val="00486F5F"/>
    <w:rsid w:val="0049582B"/>
    <w:rsid w:val="00495E56"/>
    <w:rsid w:val="004A4D71"/>
    <w:rsid w:val="004A54CA"/>
    <w:rsid w:val="004B22EA"/>
    <w:rsid w:val="004C1D8B"/>
    <w:rsid w:val="004C41A2"/>
    <w:rsid w:val="004D6C53"/>
    <w:rsid w:val="004E3773"/>
    <w:rsid w:val="0050424B"/>
    <w:rsid w:val="00510EEA"/>
    <w:rsid w:val="00515A25"/>
    <w:rsid w:val="00523BB2"/>
    <w:rsid w:val="005302FB"/>
    <w:rsid w:val="00547F8D"/>
    <w:rsid w:val="00561B9E"/>
    <w:rsid w:val="00564255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674A"/>
    <w:rsid w:val="00737235"/>
    <w:rsid w:val="00763DE8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6826"/>
    <w:rsid w:val="009C0256"/>
    <w:rsid w:val="009C15B3"/>
    <w:rsid w:val="009C1EEE"/>
    <w:rsid w:val="009F3423"/>
    <w:rsid w:val="00A03559"/>
    <w:rsid w:val="00A07A40"/>
    <w:rsid w:val="00A232F0"/>
    <w:rsid w:val="00A33835"/>
    <w:rsid w:val="00A33A18"/>
    <w:rsid w:val="00A409E7"/>
    <w:rsid w:val="00A4232A"/>
    <w:rsid w:val="00A50F6E"/>
    <w:rsid w:val="00A5728C"/>
    <w:rsid w:val="00A60F53"/>
    <w:rsid w:val="00A62A21"/>
    <w:rsid w:val="00A76779"/>
    <w:rsid w:val="00A76918"/>
    <w:rsid w:val="00A76AA5"/>
    <w:rsid w:val="00A80404"/>
    <w:rsid w:val="00A8157D"/>
    <w:rsid w:val="00A93B82"/>
    <w:rsid w:val="00A950FC"/>
    <w:rsid w:val="00A95C61"/>
    <w:rsid w:val="00AA5601"/>
    <w:rsid w:val="00AA5D59"/>
    <w:rsid w:val="00AB43EF"/>
    <w:rsid w:val="00AB4523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1600D"/>
    <w:rsid w:val="00B22DF2"/>
    <w:rsid w:val="00B23FBF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106B8"/>
    <w:rsid w:val="00C25595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83935"/>
    <w:rsid w:val="00D83DBB"/>
    <w:rsid w:val="00D95037"/>
    <w:rsid w:val="00DA11C9"/>
    <w:rsid w:val="00DA2550"/>
    <w:rsid w:val="00DA7CCE"/>
    <w:rsid w:val="00DB0EF2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74F4"/>
    <w:rsid w:val="00E447C3"/>
    <w:rsid w:val="00E618D5"/>
    <w:rsid w:val="00EA6738"/>
    <w:rsid w:val="00EA7BE8"/>
    <w:rsid w:val="00EB245A"/>
    <w:rsid w:val="00EC3BDB"/>
    <w:rsid w:val="00ED7A74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6F4C"/>
    <w:rsid w:val="00F67D57"/>
    <w:rsid w:val="00FB17C1"/>
    <w:rsid w:val="00FB4021"/>
    <w:rsid w:val="00FD0A7E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233110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6317-E8A0-4CE5-B9EC-5BE03A80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2408</Words>
  <Characters>13728</Characters>
  <Application>Microsoft Office Word</Application>
  <DocSecurity>0</DocSecurity>
  <Lines>114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5</cp:revision>
  <cp:lastPrinted>2021-04-26T12:05:00Z</cp:lastPrinted>
  <dcterms:created xsi:type="dcterms:W3CDTF">2021-06-28T08:45:00Z</dcterms:created>
  <dcterms:modified xsi:type="dcterms:W3CDTF">2021-06-28T08:51:00Z</dcterms:modified>
</cp:coreProperties>
</file>