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</w:t>
      </w:r>
      <w:r w:rsidR="00BF0CE1">
        <w:rPr>
          <w:rFonts w:ascii="Times New Roman" w:hAnsi="Times New Roman" w:cs="Times New Roman"/>
          <w:lang w:val="ro-RO"/>
        </w:rPr>
        <w:t xml:space="preserve">                          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bookmarkStart w:id="0" w:name="_GoBack"/>
      <w:bookmarkEnd w:id="0"/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BF0CE1">
        <w:rPr>
          <w:rFonts w:ascii="Times New Roman" w:hAnsi="Times New Roman" w:cs="Times New Roman"/>
          <w:b/>
          <w:lang w:val="ro-RO"/>
        </w:rPr>
        <w:t>de</w:t>
      </w:r>
      <w:r w:rsidR="00F66F4C">
        <w:rPr>
          <w:rFonts w:ascii="Times New Roman" w:hAnsi="Times New Roman" w:cs="Times New Roman"/>
          <w:b/>
          <w:lang w:val="ro-RO"/>
        </w:rPr>
        <w:t xml:space="preserve"> DETS sec.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5F0189">
        <w:rPr>
          <w:rFonts w:ascii="Times New Roman" w:hAnsi="Times New Roman" w:cs="Times New Roman"/>
          <w:b/>
          <w:lang w:val="ro-RO"/>
        </w:rPr>
        <w:t>luna  MAI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torul sectorului Ciocana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 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roiectelor investiționale externe programate în IET 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„Măsuri de eficientizare energetică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clădirii IET nr.225, bd.Mircea cel Bătrân,14/2, mun.Ch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ișinău”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se va finaliza la 31.08. 2021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„Renovarea pavajului la 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naliza Instrucțiunii cu privir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la implementarea Proiectului;              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bținerea Certificatului de Urbanism de la Direcția Generală Arhitectură, Urbanism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Relații Funciare;                             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nregistrarea proiectului cu nr.ID 871186115706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deschi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derea contului bancar de către Ministerul Finanțelor a RM;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eschiderea contului bancar în valută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națională/ în dolari americani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Trezorerie.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E31539" w:rsidRPr="00641E30" w:rsidRDefault="00594642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04 – 31 mai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Șeful DETS sec.Ciocana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C90A4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Prezentarea indicilor de rețea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state și contingent pentru anul 2021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2. Întocmirea modificări</w:t>
            </w:r>
            <w:r w:rsid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la buget pentru luna mai.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modificărilor la buget (forma 10,3)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odificărilor pentru luna mai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7. Întocmirea și pregătirea informației 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publicarea în sistemul </w:t>
            </w:r>
            <w:r w:rsidR="0083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achiziții publice </w:t>
            </w:r>
            <w:r w:rsidR="0083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„Procurarea mobilei și a medicamentelor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C641F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 – 31 mai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DA11C9" w:rsidRPr="00FB4021" w:rsidRDefault="0083670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Prelucrarea demersurilor din instituțiile de învățământ din subordinea DETS pentru pregătirea LP„Procurarea mobilieru- lui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anul 2021„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4.Totalizarea bunuri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materiale pentru luna aprilie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641E3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04 – 31 mai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materială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FB4021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Publicarea, 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valuarea și încheierea contractelor la procedu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achiziții publice L.P.„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Utilaj tehnologic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pentru  instituțiile 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învățământ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din subordinea DETS sec.Ciocana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anul 2021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Publicarea, 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valuarea și încheierea contractelor la proc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edura 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achiziții publice L.P.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Procur</w:t>
            </w:r>
            <w:r w:rsidR="004A4D7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area mobilierului pentru institu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țiil</w:t>
            </w:r>
            <w:r w:rsidR="004A4D7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de învățământ subordonate DETS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sec.Ciocana, anul 2021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”.                                                                                 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3.Evaluarea și încheierea contractelor la  procedura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achizi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publice C.O.P.„</w:t>
            </w:r>
            <w:r w:rsid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Lucrări de reparații în</w:t>
            </w:r>
            <w:r w:rsidR="004A4D7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IET nr.32,nr.67,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A4D7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nr.128,nr.135,nr.138,nr.155,nr.161,nr.177,nr.211, subordonate DETS sec.Ciocana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” </w:t>
            </w:r>
            <w:r w:rsidR="004A4D7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(repetat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FB402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736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4.Evaluarea și încheierea contractelor la proce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dură de achiziții publice C.O.P</w:t>
            </w:r>
            <w:r w:rsidR="000736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Lucrări de reparații în</w:t>
            </w:r>
            <w:r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instituțiile 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învăță</w:t>
            </w:r>
            <w:r w:rsidR="00595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mânt: IET nr130, nr.179, nr.188, nr.197; șc.prim.nr.83; LT`P.Zadnipru, din subordinea DETS sec.Ciocana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FB4021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04-31 mai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CB5773" w:rsidRPr="00FB4021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ntru luna mai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01.05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buget transparent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 Pregătirea caietului de sarcini pentru procedura de achiziții publice „</w:t>
            </w:r>
            <w:r w:rsidR="00773FD1" w:rsidRPr="002832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Procurarea medicamentelor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5954C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până la 15 mai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5954C5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5954C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5954C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04 – 31 mai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5954C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5954C5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                              </w:t>
            </w:r>
          </w:p>
          <w:p w:rsidR="00924279" w:rsidRPr="00FB4021" w:rsidRDefault="00924279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5954C5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04 </w:t>
            </w:r>
            <w:r w:rsidR="00617714" w:rsidRPr="00FB4021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617714" w:rsidRPr="00FB4021">
              <w:rPr>
                <w:sz w:val="24"/>
                <w:szCs w:val="24"/>
                <w:lang w:val="ro-RO"/>
              </w:rPr>
              <w:t xml:space="preserve">10 </w:t>
            </w:r>
            <w:r>
              <w:rPr>
                <w:sz w:val="24"/>
                <w:szCs w:val="24"/>
                <w:lang w:val="ro-RO"/>
              </w:rPr>
              <w:t>mai</w:t>
            </w:r>
            <w:r w:rsidR="00617714" w:rsidRPr="00FB4021">
              <w:rPr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tabelelor, verificarea corectitudinii completării acestora, numărul zilelor de prezență a copiilor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IET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5B50E9" w:rsidRPr="00FB4021" w:rsidRDefault="005954C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 – 30 mai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aprilie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aprilie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Darea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seamă IPC-21 pentru aprilie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5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Calcularea salariului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angajaților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Direcției pentru luna mai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 5. Calcularea compensațiilor bănești pentru cadrele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conform ordinului DGETS nr.1209 -p din 19.04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6. Calcularea compensației bănești de 1000 de lei pentru tinerii special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iști (chiria) pentru luna aprilie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28324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 –  31 mai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C41A2">
        <w:trPr>
          <w:trHeight w:val="108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5D6405" w:rsidRPr="0028324A" w:rsidRDefault="003569A1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Pregătirea caietului de sarcini pentr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LP „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alimenta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 a II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jumătate a anului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(iulie – decembrie)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              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și organizarea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 /elevilor în insti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tuțiile de învățământ din subordine.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OE în instituțiile de educație timpurie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sector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4.Asigurarea transparenței activități DETS în prestarea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serviciilor de alimentare de calitate pentru elevii/copiii din instituțiile de învățământ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preșcolar, primar și secundar de către agenții economici și excluderea fenomenului coruptibil în instituțiile de învățământ din subordinea DETS.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5.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Postarea pe FB și WEB detsciocana.educ.md și a instituțiilor de învățământ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subordine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alimentar zilnic în instituțiile de învățământ.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28324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04- 31 mai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973B25" w:rsidP="00973B25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lastRenderedPageBreak/>
              <w:t>zilnic,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4A4D71" w:rsidRDefault="00973B25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1.Selectarea ofertanților 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pentru îndeplinirea lucrărilor de reparații capitale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în instituțiile de educație timpurie 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conform Foii de Titlu 2021 și începerea lucrărilor de reparații capitale.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2.Îndeplinirea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 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57FB7" w:rsidRPr="00657FB7" w:rsidRDefault="00657FB7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A7BE8" w:rsidRDefault="000736EE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04-31 mai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 Natalia SAVLUC                             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4A4D71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sec.Ciocana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lang w:val="ro-RO"/>
              </w:rPr>
              <w:t>04 – 31 mai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2F2F62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Pr="00D51BC4" w:rsidRDefault="003A3157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e</w:t>
      </w:r>
      <w:r w:rsidR="00861153" w:rsidRPr="00861153">
        <w:rPr>
          <w:rFonts w:ascii="Times New Roman" w:hAnsi="Times New Roman" w:cs="Times New Roman"/>
          <w:sz w:val="16"/>
          <w:szCs w:val="16"/>
          <w:lang w:val="ro-RO"/>
        </w:rPr>
        <w:t>x.</w:t>
      </w:r>
      <w:r>
        <w:rPr>
          <w:rFonts w:ascii="Times New Roman" w:hAnsi="Times New Roman" w:cs="Times New Roman"/>
          <w:sz w:val="16"/>
          <w:szCs w:val="16"/>
          <w:lang w:val="ro-RO"/>
        </w:rPr>
        <w:t>A.Ivlev  079563404</w:t>
      </w:r>
      <w:r w:rsidR="00861153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0736EE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0736EE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2F2F62" w:rsidRPr="00684B23" w:rsidRDefault="000736E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</w:p>
    <w:p w:rsidR="0014426C" w:rsidRPr="00D51BC4" w:rsidRDefault="002F2F62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D51BC4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4E" w:rsidRDefault="00E5644E" w:rsidP="00213BCF">
      <w:pPr>
        <w:spacing w:after="0" w:line="240" w:lineRule="auto"/>
      </w:pPr>
      <w:r>
        <w:separator/>
      </w:r>
    </w:p>
  </w:endnote>
  <w:endnote w:type="continuationSeparator" w:id="0">
    <w:p w:rsidR="00E5644E" w:rsidRDefault="00E5644E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4E" w:rsidRDefault="00E5644E" w:rsidP="00213BCF">
      <w:pPr>
        <w:spacing w:after="0" w:line="240" w:lineRule="auto"/>
      </w:pPr>
      <w:r>
        <w:separator/>
      </w:r>
    </w:p>
  </w:footnote>
  <w:footnote w:type="continuationSeparator" w:id="0">
    <w:p w:rsidR="00E5644E" w:rsidRDefault="00E5644E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E564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E564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1504E"/>
    <w:rsid w:val="0001796E"/>
    <w:rsid w:val="00021ADB"/>
    <w:rsid w:val="00035A31"/>
    <w:rsid w:val="00040D7C"/>
    <w:rsid w:val="00050879"/>
    <w:rsid w:val="000736EE"/>
    <w:rsid w:val="00073FF1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21181"/>
    <w:rsid w:val="0012412B"/>
    <w:rsid w:val="001418D0"/>
    <w:rsid w:val="0014426C"/>
    <w:rsid w:val="00145BED"/>
    <w:rsid w:val="0015713E"/>
    <w:rsid w:val="001610ED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213BCF"/>
    <w:rsid w:val="00224789"/>
    <w:rsid w:val="002544D0"/>
    <w:rsid w:val="00254CE9"/>
    <w:rsid w:val="00266F7B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5989"/>
    <w:rsid w:val="0032675D"/>
    <w:rsid w:val="00350E1D"/>
    <w:rsid w:val="00351045"/>
    <w:rsid w:val="00354726"/>
    <w:rsid w:val="003569A1"/>
    <w:rsid w:val="00360478"/>
    <w:rsid w:val="003711DF"/>
    <w:rsid w:val="003928F1"/>
    <w:rsid w:val="0039299D"/>
    <w:rsid w:val="003A3157"/>
    <w:rsid w:val="003C45A2"/>
    <w:rsid w:val="00400885"/>
    <w:rsid w:val="004245D3"/>
    <w:rsid w:val="00430255"/>
    <w:rsid w:val="00430D21"/>
    <w:rsid w:val="004335E7"/>
    <w:rsid w:val="00454FCC"/>
    <w:rsid w:val="00486F5F"/>
    <w:rsid w:val="0049582B"/>
    <w:rsid w:val="004A4D71"/>
    <w:rsid w:val="004A54CA"/>
    <w:rsid w:val="004B22EA"/>
    <w:rsid w:val="004C1D8B"/>
    <w:rsid w:val="004C41A2"/>
    <w:rsid w:val="004D6C53"/>
    <w:rsid w:val="00510EEA"/>
    <w:rsid w:val="00515A25"/>
    <w:rsid w:val="00523BB2"/>
    <w:rsid w:val="005302FB"/>
    <w:rsid w:val="00561B9E"/>
    <w:rsid w:val="00564255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A155F"/>
    <w:rsid w:val="005B50E9"/>
    <w:rsid w:val="005D41F2"/>
    <w:rsid w:val="005D58A7"/>
    <w:rsid w:val="005D6405"/>
    <w:rsid w:val="005E00CC"/>
    <w:rsid w:val="005E272A"/>
    <w:rsid w:val="005F0189"/>
    <w:rsid w:val="00603B0F"/>
    <w:rsid w:val="00617714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D5225"/>
    <w:rsid w:val="006E6F24"/>
    <w:rsid w:val="006F0E3A"/>
    <w:rsid w:val="006F3B17"/>
    <w:rsid w:val="006F6735"/>
    <w:rsid w:val="00722F41"/>
    <w:rsid w:val="0073674A"/>
    <w:rsid w:val="00737235"/>
    <w:rsid w:val="00763DE8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96826"/>
    <w:rsid w:val="009C15B3"/>
    <w:rsid w:val="009C1EEE"/>
    <w:rsid w:val="009F3423"/>
    <w:rsid w:val="00A03559"/>
    <w:rsid w:val="00A07A40"/>
    <w:rsid w:val="00A232F0"/>
    <w:rsid w:val="00A33835"/>
    <w:rsid w:val="00A33A18"/>
    <w:rsid w:val="00A409E7"/>
    <w:rsid w:val="00A4232A"/>
    <w:rsid w:val="00A50F6E"/>
    <w:rsid w:val="00A62A21"/>
    <w:rsid w:val="00A76779"/>
    <w:rsid w:val="00A76918"/>
    <w:rsid w:val="00A76AA5"/>
    <w:rsid w:val="00A80404"/>
    <w:rsid w:val="00A8157D"/>
    <w:rsid w:val="00A950FC"/>
    <w:rsid w:val="00A95C61"/>
    <w:rsid w:val="00AA5601"/>
    <w:rsid w:val="00AA5D59"/>
    <w:rsid w:val="00AB43EF"/>
    <w:rsid w:val="00AB4523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1600D"/>
    <w:rsid w:val="00B22DF2"/>
    <w:rsid w:val="00B24FDB"/>
    <w:rsid w:val="00B71EB0"/>
    <w:rsid w:val="00B94F58"/>
    <w:rsid w:val="00BA099C"/>
    <w:rsid w:val="00BA54B1"/>
    <w:rsid w:val="00BE2B7A"/>
    <w:rsid w:val="00BE3469"/>
    <w:rsid w:val="00BF0CE1"/>
    <w:rsid w:val="00C106B8"/>
    <w:rsid w:val="00C25595"/>
    <w:rsid w:val="00C641F2"/>
    <w:rsid w:val="00C90A49"/>
    <w:rsid w:val="00CA351B"/>
    <w:rsid w:val="00CB4B8E"/>
    <w:rsid w:val="00CB5773"/>
    <w:rsid w:val="00CC13EB"/>
    <w:rsid w:val="00CC2502"/>
    <w:rsid w:val="00CD1FB1"/>
    <w:rsid w:val="00CE3A3C"/>
    <w:rsid w:val="00CE5EFB"/>
    <w:rsid w:val="00D0157E"/>
    <w:rsid w:val="00D01CF4"/>
    <w:rsid w:val="00D16AB1"/>
    <w:rsid w:val="00D208FA"/>
    <w:rsid w:val="00D274D6"/>
    <w:rsid w:val="00D41F51"/>
    <w:rsid w:val="00D513F3"/>
    <w:rsid w:val="00D51BC4"/>
    <w:rsid w:val="00D72A2E"/>
    <w:rsid w:val="00D83DBB"/>
    <w:rsid w:val="00D95037"/>
    <w:rsid w:val="00DA11C9"/>
    <w:rsid w:val="00DA2550"/>
    <w:rsid w:val="00DB0EF2"/>
    <w:rsid w:val="00DC6A9C"/>
    <w:rsid w:val="00DE06F3"/>
    <w:rsid w:val="00DE29AC"/>
    <w:rsid w:val="00DF65A5"/>
    <w:rsid w:val="00DF7F91"/>
    <w:rsid w:val="00E06C3B"/>
    <w:rsid w:val="00E07A04"/>
    <w:rsid w:val="00E31539"/>
    <w:rsid w:val="00E374F4"/>
    <w:rsid w:val="00E5644E"/>
    <w:rsid w:val="00EA6738"/>
    <w:rsid w:val="00EA7BE8"/>
    <w:rsid w:val="00EB245A"/>
    <w:rsid w:val="00EC3BDB"/>
    <w:rsid w:val="00ED7A74"/>
    <w:rsid w:val="00F11419"/>
    <w:rsid w:val="00F150D2"/>
    <w:rsid w:val="00F21711"/>
    <w:rsid w:val="00F3473F"/>
    <w:rsid w:val="00F358A7"/>
    <w:rsid w:val="00F54528"/>
    <w:rsid w:val="00F60CEF"/>
    <w:rsid w:val="00F6216E"/>
    <w:rsid w:val="00F66F4C"/>
    <w:rsid w:val="00F67D57"/>
    <w:rsid w:val="00FB17C1"/>
    <w:rsid w:val="00FB4021"/>
    <w:rsid w:val="00FD0A7E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78F1F4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B7DB-7976-48F9-88B1-7656A6A6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2254</Words>
  <Characters>12849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5</cp:revision>
  <cp:lastPrinted>2021-04-26T08:36:00Z</cp:lastPrinted>
  <dcterms:created xsi:type="dcterms:W3CDTF">2021-04-01T13:19:00Z</dcterms:created>
  <dcterms:modified xsi:type="dcterms:W3CDTF">2021-05-25T08:43:00Z</dcterms:modified>
</cp:coreProperties>
</file>