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D5" w:rsidRDefault="004034D5" w:rsidP="004034D5">
      <w:pPr>
        <w:pStyle w:val="ListParagraph"/>
        <w:jc w:val="right"/>
        <w:rPr>
          <w:lang w:val="ro-RO"/>
        </w:rPr>
      </w:pPr>
      <w:bookmarkStart w:id="0" w:name="_GoBack"/>
      <w:bookmarkEnd w:id="0"/>
      <w:r>
        <w:rPr>
          <w:lang w:val="ro-RO"/>
        </w:rPr>
        <w:t xml:space="preserve">Aprobată </w:t>
      </w:r>
    </w:p>
    <w:p w:rsidR="004034D5" w:rsidRDefault="004034D5" w:rsidP="004034D5">
      <w:pPr>
        <w:pStyle w:val="ListParagraph"/>
        <w:jc w:val="right"/>
        <w:rPr>
          <w:lang w:val="ro-RO"/>
        </w:rPr>
      </w:pPr>
      <w:r>
        <w:rPr>
          <w:lang w:val="ro-RO"/>
        </w:rPr>
        <w:t xml:space="preserve">prin decizia Consiliului de Administraţie </w:t>
      </w:r>
    </w:p>
    <w:p w:rsidR="004034D5" w:rsidRDefault="004034D5" w:rsidP="004034D5">
      <w:pPr>
        <w:pStyle w:val="ListParagraph"/>
        <w:jc w:val="right"/>
        <w:rPr>
          <w:lang w:val="ro-RO"/>
        </w:rPr>
      </w:pPr>
      <w:r>
        <w:rPr>
          <w:lang w:val="ro-RO"/>
        </w:rPr>
        <w:t>nr. 05/06 din 28 decembrie 2016</w:t>
      </w:r>
    </w:p>
    <w:p w:rsidR="004034D5" w:rsidRPr="00EF3DE8" w:rsidRDefault="004034D5" w:rsidP="004034D5">
      <w:pPr>
        <w:ind w:left="720"/>
        <w:jc w:val="both"/>
        <w:rPr>
          <w:lang w:val="ro-RO"/>
        </w:rPr>
      </w:pPr>
    </w:p>
    <w:p w:rsidR="004034D5" w:rsidRPr="00B7541B" w:rsidRDefault="004034D5" w:rsidP="004034D5">
      <w:pPr>
        <w:spacing w:after="0"/>
        <w:jc w:val="center"/>
        <w:rPr>
          <w:rFonts w:ascii="Times New Roman" w:hAnsi="Times New Roman" w:cs="Times New Roman"/>
          <w:lang w:val="en-US"/>
        </w:rPr>
      </w:pPr>
      <w:r w:rsidRPr="00B7541B">
        <w:rPr>
          <w:rFonts w:ascii="Times New Roman" w:hAnsi="Times New Roman" w:cs="Times New Roman"/>
          <w:lang w:val="en-US"/>
        </w:rPr>
        <w:t>INSTRUCŢIUNE</w:t>
      </w:r>
    </w:p>
    <w:p w:rsidR="004034D5" w:rsidRPr="00B7541B" w:rsidRDefault="004034D5" w:rsidP="004034D5">
      <w:pPr>
        <w:spacing w:after="0"/>
        <w:jc w:val="center"/>
        <w:rPr>
          <w:rFonts w:ascii="Times New Roman" w:hAnsi="Times New Roman" w:cs="Times New Roman"/>
          <w:lang w:val="en-US"/>
        </w:rPr>
      </w:pPr>
      <w:r w:rsidRPr="00B7541B">
        <w:rPr>
          <w:rFonts w:ascii="Times New Roman" w:hAnsi="Times New Roman" w:cs="Times New Roman"/>
          <w:lang w:val="en-US"/>
        </w:rPr>
        <w:t xml:space="preserve">cu privire la gestionarea dosarului personal al salariaților unității </w:t>
      </w:r>
    </w:p>
    <w:p w:rsidR="004034D5" w:rsidRPr="00B7541B" w:rsidRDefault="004034D5" w:rsidP="004034D5">
      <w:pPr>
        <w:spacing w:after="0"/>
        <w:jc w:val="both"/>
        <w:rPr>
          <w:rFonts w:ascii="Times New Roman" w:hAnsi="Times New Roman" w:cs="Times New Roman"/>
          <w:lang w:val="en-US"/>
        </w:rPr>
      </w:pPr>
    </w:p>
    <w:p w:rsidR="004034D5" w:rsidRPr="00B7541B" w:rsidRDefault="004034D5" w:rsidP="004034D5">
      <w:pPr>
        <w:spacing w:after="0"/>
        <w:jc w:val="center"/>
        <w:rPr>
          <w:rFonts w:ascii="Times New Roman" w:hAnsi="Times New Roman" w:cs="Times New Roman"/>
          <w:b/>
          <w:lang w:val="en-US"/>
        </w:rPr>
      </w:pPr>
      <w:r w:rsidRPr="00B7541B">
        <w:rPr>
          <w:rFonts w:ascii="Times New Roman" w:hAnsi="Times New Roman" w:cs="Times New Roman"/>
          <w:b/>
          <w:lang w:val="en-US"/>
        </w:rPr>
        <w:t>I. Dispoziţii generale</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 Prezenta Instrucţiune este elaborată și aprobată de Direcţia educaţie în calitate de act normativ la nivel de unitate în conformitate cu prevederile articolelor 4 litera f.) și 10 alineatul (1) litera e.) din Codul muncii al Republicii Moldova şi reglementează conţinutul, modul de întocmire, completare, actualizare, păstrare şi acces la dosarul personal al conducătorilor, specialiştilor, funcţionarilor și altor categorii de angajați (în continuare – salariat) din cadrul unității.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 Dosarul personal al salariatului reprezintă o totalitate de acte şi informaţii care cuprind date cu caracter personal şi profesional despre persoana care deține o funcţie la unitate.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 Pentru fiecare salariat se întocmeşte un singur dosar personal. Dosarul personal se întocmeşte în termen de 10 zile de la numirea salariatului în funcţie, inclusiv prin cumul.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4. Dispoziţiile pct. 3 al prezentei Instrucţiuni sînt aplicabile şi salariaților cărora, potrivit legislației muncii, nu li se stabileşte perioadă de probă.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5. Fiecare dosar personal are număr şi dată de înregistrare, conform registrului de evidenţă a dosarelor personale ale salariaților. Numărul şi data, precum şi denumirea unității în care se fac înregistrările respective, se consemnează pe verso copertei dosarului personal. Modelul registrului de evidenţă a dosarelor personale ale salariaților este specificat în anexa nr. 1 la prezenta Instrucţiune.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6. În cazul în care dosarul personal a fost arhivat, numărul şi data de înregistrare se consemnează în mod consecutiv, prin înserarea pe verso copertei dosarului personal a unui nou rând.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7. Dosarul personal al conducătorului unității este gestionat de organul abilitat să încheie cu acesta contractul individual de muncă și să-l numească în funcţia dată. Al doilea exemplar se păstrează în unitatea respectivă.</w:t>
      </w:r>
    </w:p>
    <w:p w:rsidR="004034D5" w:rsidRPr="00B7541B" w:rsidRDefault="004034D5" w:rsidP="004034D5">
      <w:pPr>
        <w:spacing w:after="0"/>
        <w:jc w:val="center"/>
        <w:rPr>
          <w:rFonts w:ascii="Times New Roman" w:hAnsi="Times New Roman" w:cs="Times New Roman"/>
          <w:b/>
          <w:lang w:val="en-US"/>
        </w:rPr>
      </w:pPr>
      <w:r w:rsidRPr="00B7541B">
        <w:rPr>
          <w:rFonts w:ascii="Times New Roman" w:hAnsi="Times New Roman" w:cs="Times New Roman"/>
          <w:b/>
          <w:lang w:val="en-US"/>
        </w:rPr>
        <w:t>II. Conţinutul dosarului personal. Secţiunile dosarului personal</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8. Dosarul personal, al cărui model este specificat în anexa nr. 2 la prezenta Instrucţiune, este constituit din: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a) copertă;</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 b) fişa de evidenţă a persoanelor care au avut acces la dosarul personal;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c) cuprinsul dosarului personal;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d) informaţii despre salariat.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9. Informaţiile despre salariat sînt structurate în secţiuni, vizibil separate între ele prin foi colorate, separeuri sau alte modalităţi.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10. În secţiunea 1-a “Date generale” se include nomenclatorul actelor cuprinse în această secţiune, precum şi următoarele documente: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a) copia de pe buletinul de identitate;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b) copia de pe livretul militar, după caz;</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 c) certificatul medical care atestă starea de sănătate corespunzătoare funcţiei deținute, după caz;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d) cazierul judiciar.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11. În secţiunea a 2-a “Studiile şi formarea profesională” se include nomenclatorul actelor cuprinse în această secţiune, precum şi următoarele documente: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a) copiile de pe actele de studii;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b) copiile de pe documentele ce confirmă realizarea diferitor modalități de formare profesională.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12. În secţiunea a 3-a „Raporturi de muncă” se include nomenclatorul actelor cuprinse în această secţiune, precum şi următoarele documente: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lastRenderedPageBreak/>
        <w:t xml:space="preserve">a) un exemplar al contractului individual de muncă;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b) acordurile suplimentare semnate de părţi, anexate la contractul individual de muncă;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c) copia ordinului de angajare/numire în funcție;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d) copiile ordinelor privind transferul în alte funcții;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e) copiile ordinelor despre suspendarea contractului individual de muncă;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f) copiile fișelor de post;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g) documentele privitor la desfășurarea perioadei de probă;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h) copiile ordinelor privind conferirea/ confirmarea calificării;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i) copiile hotărârilor comisiei de atestare despre rezultatele atestării salariatului;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j) copia ordinului privitor la restabilirea salariatului în funcția precedentă;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k) copia ordinului privind încetarea contractului individual de muncă;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l) fișa personală</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m) formularul nr. MR-2.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13. În secţiunea a 4-a „Stimulări şi recompense” se include formularul „Stimulări şi recompense”.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14. În secţiunea a 5-a „Concedii” se include formularul „Concedii”.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15. În secţiunea a 6-a „Sancţiuni disciplinare” se include formularul „Sancţiuni disciplinare”.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16. În secţiunea a 7-a „Altele” se include nomenclatorul actelor cuprinse în secţiunea dată, precum şi copiile altor documente care îl vizează pe salariat sau sunt prevăzute de legislaţia în vigoare.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17. Documentele incluse în secţiunile dosarului personal se plasează în ordinea cronologică a emiterii acestora, cu excepţia celor de la pct.10 lit.a-d) din prezenta Instrucţiune, care se plasează în ordinea indicată.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18. Nu se permite ca în dosarul personal să se facă referiri la apartenenţa politică, religioasă sau la viaţa privată a salariatului. </w:t>
      </w:r>
    </w:p>
    <w:p w:rsidR="004034D5" w:rsidRPr="00B7541B" w:rsidRDefault="004034D5" w:rsidP="004034D5">
      <w:pPr>
        <w:spacing w:after="0"/>
        <w:jc w:val="center"/>
        <w:rPr>
          <w:rFonts w:ascii="Times New Roman" w:hAnsi="Times New Roman" w:cs="Times New Roman"/>
          <w:b/>
          <w:lang w:val="en-US"/>
        </w:rPr>
      </w:pPr>
      <w:r w:rsidRPr="00B7541B">
        <w:rPr>
          <w:rFonts w:ascii="Times New Roman" w:hAnsi="Times New Roman" w:cs="Times New Roman"/>
          <w:b/>
          <w:lang w:val="en-US"/>
        </w:rPr>
        <w:t xml:space="preserve">III. Întocmirea, completarea, actualizarea şi rectificarea </w:t>
      </w:r>
    </w:p>
    <w:p w:rsidR="004034D5" w:rsidRPr="00B7541B" w:rsidRDefault="004034D5" w:rsidP="004034D5">
      <w:pPr>
        <w:spacing w:after="0"/>
        <w:jc w:val="center"/>
        <w:rPr>
          <w:rFonts w:ascii="Times New Roman" w:hAnsi="Times New Roman" w:cs="Times New Roman"/>
          <w:lang w:val="en-US"/>
        </w:rPr>
      </w:pPr>
      <w:r w:rsidRPr="00B7541B">
        <w:rPr>
          <w:rFonts w:ascii="Times New Roman" w:hAnsi="Times New Roman" w:cs="Times New Roman"/>
          <w:b/>
          <w:lang w:val="en-US"/>
        </w:rPr>
        <w:t>dosarului personal</w:t>
      </w:r>
      <w:r w:rsidRPr="00B7541B">
        <w:rPr>
          <w:rFonts w:ascii="Times New Roman" w:hAnsi="Times New Roman" w:cs="Times New Roman"/>
          <w:lang w:val="en-US"/>
        </w:rPr>
        <w:t xml:space="preserv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19. Întocmirea dosarului personal se face de către persoana cu atribuţii în domeniul gestionării dosarelor personale, potrivit fişei postului.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20. Actualizarea dosarului personal se efectuează prin includerea în dosarul personal de noi documente, introducerea de noi înscrieri în formularele secţiunilor şi în nomenclatoarele actelor cuprinse în secţiuni. În cazul în care rândurile incluse în formulare, în registrul de evidenţă a dosarelor personale ale salariaților, în fişa de evidenţă a persoanelor care au avut acces la dosarul personal şi/sau în nomenclatoarele actelor cuprinse în secţiuni se epuizează, acestea se inserează pe o nouă pagină.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21. Actualizarea se realizează pe măsură ce în privinţa salariatului au fost emise noi documente, dar nu mai târziu de 10 zile lucrătoare de la data emiterii acestora. Responsabilitatea pentru actualizare revine persoanei cu atribuţii în domeniul gestionării dosarelor personale.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22. Datele cuprinse în dosarul personal se pot rectifica în următoarele situaţii: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a) la cererea scrisă şi motivată a salariatului;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b) la cererea scrisă şi motivată a conducătorului serviciului resurse umane sau, după caz, a persoanei cu atribuţii în domeniul gestionării dosarelor personale, cu înştiinţarea salariatului respectiv;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c) în temeiul hotărârii judecătoreşti definitive şi irevocabile.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23. În cererea de solicitare a rectificării se menţionează informaţia considerată a fi incorectă sau incompletă.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24. Rectificarea datelor din dosarul personal se aduce la cunoştinţă salariatului vizat contra semnătură.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25. Rectificarea datelor din dosarul personal se face pe baza documentelor prezentate în original. Documentele originale se restituie titularului, iar copiile de pe acestea, certificate pentru conformitate cu originalul de către conducătorul instituţiei, se păstrează în dosarul personal.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26. Rectificarea se realizează prin radierea datelor incorecte sau incomplete cu un corector fluid, după care, în locul vechilor specificări, se consemnează cele noi.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lastRenderedPageBreak/>
        <w:t xml:space="preserve">27. Fiecare filă a dosarului personal se numerotează. Nu se numerotează coperta, fişa de evidenţă a persoanelor ce au avut acces la dosarul personal şi nomenclatoarele actelor cuprinse în secţiuni. Numerotarea se face separat pe fiecare secţiune. </w:t>
      </w:r>
    </w:p>
    <w:p w:rsidR="004034D5" w:rsidRPr="00B7541B" w:rsidRDefault="004034D5" w:rsidP="004034D5">
      <w:pPr>
        <w:spacing w:after="0"/>
        <w:jc w:val="center"/>
        <w:rPr>
          <w:rFonts w:ascii="Times New Roman" w:hAnsi="Times New Roman" w:cs="Times New Roman"/>
          <w:b/>
          <w:lang w:val="en-US"/>
        </w:rPr>
      </w:pPr>
      <w:r w:rsidRPr="00B7541B">
        <w:rPr>
          <w:rFonts w:ascii="Times New Roman" w:hAnsi="Times New Roman" w:cs="Times New Roman"/>
          <w:b/>
          <w:lang w:val="en-US"/>
        </w:rPr>
        <w:t>IV.Accesul la dosarul personal şi la datele cuprinse în acesta</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28. Salariatul are dreptul, ca urmare a unei solicitări verbale adresate conducătorului unităţii, de acces la dosarul său personal. Fiecare acces la dosarul personal se consemnează în fişa de evidenţă a persoanelor care au avut acces la dosarul personal.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29. Dreptul de acces la dosarul personal îl are de asemenea conducătorul unității şi specialistul resurse umane de la Direcţia educaţie.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30. Salariatul are dreptul, la cererea sa verbală sau scrisă adresată conducătorului unităţii, de a primi: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a) copii simple de pe documentele din dosarul său personal sau certificate prin ştampilă şi semnătură;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b) extrase de pe documentele întocmite, certificate prin ştampilă şi semnătură;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c) certificate care să ateste informaţii cuprinse în dosarul său personal.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31. Copiile, extrasele şi adeverinţele pot fi obţinute, în condiţiile legii, şi de către alte persoane sau organe.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32. Persoanele care au acces la datele cuprinse în dosarul personal au obligaţia de a păstra confidenţialitatea datelor cu care au făcut cunoştinţă, în condiţiile legii.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33. Încălcarea normelor de confidenţialitate atrage, după caz, răspunderea disciplinară, materială, contravenţională sau penală în conformitate cu legislația în vigoare. </w:t>
      </w:r>
    </w:p>
    <w:p w:rsidR="004034D5" w:rsidRPr="00B7541B" w:rsidRDefault="004034D5" w:rsidP="004034D5">
      <w:pPr>
        <w:spacing w:after="0"/>
        <w:jc w:val="center"/>
        <w:rPr>
          <w:rFonts w:ascii="Times New Roman" w:hAnsi="Times New Roman" w:cs="Times New Roman"/>
          <w:b/>
          <w:lang w:val="en-US"/>
        </w:rPr>
      </w:pPr>
      <w:r w:rsidRPr="00B7541B">
        <w:rPr>
          <w:rFonts w:ascii="Times New Roman" w:hAnsi="Times New Roman" w:cs="Times New Roman"/>
          <w:b/>
          <w:lang w:val="en-US"/>
        </w:rPr>
        <w:t>V. Păstrarea dosarului personal</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34. Toate dosarele personale se păstrează în safeuri sau dulapuri metalice la care au acces doar conducătorul instituţiei şi persoana cu atribuţii în domeniul gestionării dosarelor personale. Se interzice scoaterea dosarelor personale din încăperile unde se păstrează, cu excepţia cazurilor prevăzute de prezenta Instrucţiune.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35. Dosarul personal al salariatului ale cărui raporturi de muncă au încetat se păstrează de către unitatea în care a activat respectivul salariat.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36. În cazul reorganizării unității, dosarele personale ale salariatului a căror raporturi de muncă nu au fost modificate sau nu au încetat, se păstrează de către unitatea reorganizată.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37. În cazul lichidării unității dosarele personale ale salariaților se transmit Serviciului de Arhivă sau, după caz, organelor teritoriale ale acesteia pe bază de proces-verbal.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38. În cazul detaşării salariatului – dosarul personal se păstrează de către unitatea de bază de la care el a fost detaşat. Eventualele modificări intervenite pe perioada detaşării se transmit sub semnătura conducătorului unității de bază – angajatorului la care a fost detaşat temporar salariatul. </w:t>
      </w:r>
    </w:p>
    <w:p w:rsidR="004034D5" w:rsidRPr="00B7541B" w:rsidRDefault="004034D5" w:rsidP="004034D5">
      <w:pPr>
        <w:spacing w:after="0"/>
        <w:jc w:val="center"/>
        <w:rPr>
          <w:rFonts w:ascii="Times New Roman" w:hAnsi="Times New Roman" w:cs="Times New Roman"/>
          <w:b/>
          <w:lang w:val="en-US"/>
        </w:rPr>
      </w:pPr>
      <w:r w:rsidRPr="00B7541B">
        <w:rPr>
          <w:rFonts w:ascii="Times New Roman" w:hAnsi="Times New Roman" w:cs="Times New Roman"/>
          <w:b/>
          <w:lang w:val="en-US"/>
        </w:rPr>
        <w:t>VI.Prevederi finale</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39. Controlul asupra aplicării/respectării prezentei Instrucţiuni se pune pe seama conducătorului unității.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40. Modificarea și completarea prezentei Instrucţiuni se face în modul stabilit pentru aprobarea acesteea.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 xml:space="preserve">41. Documentele acumulate și perfectate în dosarul personal din unitate sunt în conformitate cu legislația arhivistică. </w:t>
      </w:r>
    </w:p>
    <w:p w:rsidR="004034D5" w:rsidRPr="00B7541B" w:rsidRDefault="004034D5" w:rsidP="004034D5">
      <w:pPr>
        <w:spacing w:after="0"/>
        <w:jc w:val="both"/>
        <w:rPr>
          <w:rFonts w:ascii="Times New Roman" w:hAnsi="Times New Roman" w:cs="Times New Roman"/>
          <w:lang w:val="en-US"/>
        </w:rPr>
      </w:pPr>
      <w:r w:rsidRPr="00B7541B">
        <w:rPr>
          <w:rFonts w:ascii="Times New Roman" w:hAnsi="Times New Roman" w:cs="Times New Roman"/>
          <w:lang w:val="en-US"/>
        </w:rPr>
        <w:t>42. Prezenta Instrucţiune se aduce la cunoștință angajaților unității vizați, sub semnătură, în modul stabilit.</w:t>
      </w:r>
    </w:p>
    <w:p w:rsidR="00C961FF" w:rsidRPr="004034D5" w:rsidRDefault="00C961FF">
      <w:pPr>
        <w:rPr>
          <w:lang w:val="en-US"/>
        </w:rPr>
      </w:pPr>
    </w:p>
    <w:sectPr w:rsidR="00C961FF" w:rsidRPr="00403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D5"/>
    <w:rsid w:val="00312A87"/>
    <w:rsid w:val="004034D5"/>
    <w:rsid w:val="00C9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4D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4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2</cp:revision>
  <dcterms:created xsi:type="dcterms:W3CDTF">2017-12-04T13:01:00Z</dcterms:created>
  <dcterms:modified xsi:type="dcterms:W3CDTF">2017-12-04T13:01:00Z</dcterms:modified>
</cp:coreProperties>
</file>