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3C" w:rsidRDefault="0081763C" w:rsidP="00143DA9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</w:pPr>
      <w:bookmarkStart w:id="0" w:name="_GoBack"/>
    </w:p>
    <w:p w:rsidR="00143DA9" w:rsidRDefault="00143DA9" w:rsidP="00143DA9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</w:pPr>
      <w:proofErr w:type="spell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Normele</w:t>
      </w:r>
      <w:proofErr w:type="spellEnd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 xml:space="preserve"> </w:t>
      </w:r>
      <w:proofErr w:type="spell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financiare</w:t>
      </w:r>
      <w:proofErr w:type="spellEnd"/>
    </w:p>
    <w:p w:rsidR="00143DA9" w:rsidRDefault="00143DA9" w:rsidP="00143DA9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</w:pPr>
      <w:proofErr w:type="spellStart"/>
      <w:proofErr w:type="gram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pentru</w:t>
      </w:r>
      <w:proofErr w:type="spellEnd"/>
      <w:proofErr w:type="gramEnd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 xml:space="preserve"> </w:t>
      </w:r>
      <w:proofErr w:type="spell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alimentarea</w:t>
      </w:r>
      <w:proofErr w:type="spellEnd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 xml:space="preserve"> </w:t>
      </w:r>
      <w:proofErr w:type="spell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copiilor</w:t>
      </w:r>
      <w:proofErr w:type="spellEnd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/</w:t>
      </w:r>
      <w:proofErr w:type="spell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elevilor</w:t>
      </w:r>
      <w:proofErr w:type="spellEnd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 xml:space="preserve"> din </w:t>
      </w:r>
      <w:proofErr w:type="spell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instituțiile</w:t>
      </w:r>
      <w:proofErr w:type="spellEnd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 xml:space="preserve"> de </w:t>
      </w:r>
      <w:proofErr w:type="spellStart"/>
      <w:r w:rsidRPr="00143DA9"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  <w:t>învățământ</w:t>
      </w:r>
      <w:proofErr w:type="spellEnd"/>
    </w:p>
    <w:bookmarkEnd w:id="0"/>
    <w:p w:rsidR="0081763C" w:rsidRPr="00143DA9" w:rsidRDefault="0081763C" w:rsidP="00143DA9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262D32"/>
          <w:kern w:val="36"/>
          <w:sz w:val="26"/>
          <w:szCs w:val="26"/>
          <w:lang w:val="en-US" w:eastAsia="ru-RU"/>
        </w:rPr>
      </w:pPr>
    </w:p>
    <w:p w:rsidR="00143DA9" w:rsidRDefault="00143DA9" w:rsidP="00143DA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24242"/>
          <w:sz w:val="21"/>
          <w:szCs w:val="21"/>
          <w:lang w:val="en-US" w:eastAsia="ru-RU"/>
        </w:rPr>
      </w:pPr>
    </w:p>
    <w:p w:rsidR="0081763C" w:rsidRDefault="00143DA9" w:rsidP="00143DA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Monitorul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Oficial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, 1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martie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2022,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Ministerul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Educației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și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Cercetării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și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Ministerul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Finanțelor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au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publicat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Ordinul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comun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(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118 din 24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februarie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2022/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31 din 24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februarie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) cu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privire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la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normele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financiare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pentru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alimentarea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copiilor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/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elevilor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din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instituțiile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de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învățământ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</w:p>
    <w:p w:rsidR="00143DA9" w:rsidRPr="00143DA9" w:rsidRDefault="00143DA9" w:rsidP="00143DA9">
      <w:pPr>
        <w:shd w:val="clear" w:color="auto" w:fill="FFFFFF"/>
        <w:spacing w:after="0" w:line="270" w:lineRule="atLeast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424242"/>
          <w:sz w:val="24"/>
          <w:szCs w:val="24"/>
          <w:lang w:val="en-US" w:eastAsia="ru-RU"/>
        </w:rPr>
      </w:pPr>
      <w:proofErr w:type="spellStart"/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În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temeiul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art.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136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alin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.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(1)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lit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b), art.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145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alin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.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(1)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lit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c)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din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Codul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educației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al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Republicii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Moldova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152/2014 (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Monitorul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 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Oficial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al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Republicii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Moldova, 2014,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319-324, art. 634), al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Legii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bugetului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de stat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pentru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anul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2022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.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205/2021 (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Monitorul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Oficial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al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Republicii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Moldova, 2021,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315-324, art. 478), pct. 5 lit. a)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din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Hotărârea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Guvernului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</w:t>
      </w:r>
      <w:proofErr w:type="gram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198/1993 cu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privire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la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protecţia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copiilor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şi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familiilor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socialmente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vulnerabile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(Monitor, 1993,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. 4, art. 119)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și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al pct. 1 din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Hotărârea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Guvernului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.</w:t>
      </w:r>
      <w:proofErr w:type="gram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234/2005 cu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privire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la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alimentarea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elevilor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(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Monitorul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Oficial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al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Republicii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 Moldova, 2005, </w:t>
      </w:r>
      <w:proofErr w:type="spellStart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nr</w:t>
      </w:r>
      <w:proofErr w:type="spellEnd"/>
      <w:r w:rsidRPr="00143DA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. 36-38, art. 279),</w:t>
      </w:r>
    </w:p>
    <w:p w:rsidR="00143DA9" w:rsidRPr="00143DA9" w:rsidRDefault="00143DA9" w:rsidP="00143DA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24242"/>
          <w:lang w:val="ro-MO"/>
        </w:rPr>
      </w:pPr>
    </w:p>
    <w:p w:rsidR="00143DA9" w:rsidRPr="00143DA9" w:rsidRDefault="00143DA9" w:rsidP="00143DA9">
      <w:pPr>
        <w:pStyle w:val="a3"/>
        <w:shd w:val="clear" w:color="auto" w:fill="FFFFFF"/>
        <w:spacing w:before="0" w:beforeAutospacing="0" w:after="0" w:afterAutospacing="0"/>
        <w:rPr>
          <w:color w:val="424242"/>
        </w:rPr>
      </w:pPr>
      <w:r w:rsidRPr="00143DA9">
        <w:rPr>
          <w:rStyle w:val="a4"/>
          <w:color w:val="424242"/>
        </w:rPr>
        <w:t>ORDONĂM:</w:t>
      </w:r>
    </w:p>
    <w:p w:rsidR="00143DA9" w:rsidRDefault="00143DA9" w:rsidP="00143DA9">
      <w:pPr>
        <w:pStyle w:val="a3"/>
        <w:shd w:val="clear" w:color="auto" w:fill="FFFFFF"/>
        <w:spacing w:before="0" w:beforeAutospacing="0" w:after="0" w:afterAutospacing="0"/>
        <w:rPr>
          <w:color w:val="424242"/>
          <w:lang w:val="en-US"/>
        </w:rPr>
      </w:pPr>
      <w:r w:rsidRPr="00143DA9">
        <w:rPr>
          <w:color w:val="424242"/>
          <w:lang w:val="en-US"/>
        </w:rPr>
        <w:br/>
      </w:r>
      <w:r w:rsidRPr="00A50C96">
        <w:rPr>
          <w:rStyle w:val="a4"/>
          <w:b w:val="0"/>
          <w:iCs/>
          <w:color w:val="424242"/>
          <w:lang w:val="en-US"/>
        </w:rPr>
        <w:t>1</w:t>
      </w:r>
      <w:r w:rsidRPr="00143DA9">
        <w:rPr>
          <w:rStyle w:val="a4"/>
          <w:i/>
          <w:iCs/>
          <w:color w:val="424242"/>
          <w:lang w:val="en-US"/>
        </w:rPr>
        <w:t>.</w:t>
      </w:r>
      <w:r w:rsidRPr="00143DA9">
        <w:rPr>
          <w:color w:val="424242"/>
          <w:lang w:val="en-US"/>
        </w:rPr>
        <w:t xml:space="preserve"> Se </w:t>
      </w:r>
      <w:proofErr w:type="spellStart"/>
      <w:r w:rsidRPr="00143DA9">
        <w:rPr>
          <w:color w:val="424242"/>
          <w:lang w:val="en-US"/>
        </w:rPr>
        <w:t>aprobă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normele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financiare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pentru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alimentarea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copiilor</w:t>
      </w:r>
      <w:proofErr w:type="spellEnd"/>
      <w:r w:rsidRPr="00143DA9">
        <w:rPr>
          <w:color w:val="424242"/>
          <w:lang w:val="en-US"/>
        </w:rPr>
        <w:t>/</w:t>
      </w:r>
      <w:proofErr w:type="spellStart"/>
      <w:r w:rsidRPr="00143DA9">
        <w:rPr>
          <w:color w:val="424242"/>
          <w:lang w:val="en-US"/>
        </w:rPr>
        <w:t>elevilor</w:t>
      </w:r>
      <w:proofErr w:type="spellEnd"/>
      <w:r w:rsidRPr="00143DA9">
        <w:rPr>
          <w:color w:val="424242"/>
          <w:lang w:val="en-US"/>
        </w:rPr>
        <w:t xml:space="preserve"> din </w:t>
      </w:r>
      <w:proofErr w:type="spellStart"/>
      <w:r w:rsidRPr="00143DA9">
        <w:rPr>
          <w:color w:val="424242"/>
          <w:lang w:val="en-US"/>
        </w:rPr>
        <w:t>instituţiile</w:t>
      </w:r>
      <w:proofErr w:type="spellEnd"/>
      <w:r w:rsidRPr="00143DA9">
        <w:rPr>
          <w:color w:val="424242"/>
          <w:lang w:val="en-US"/>
        </w:rPr>
        <w:t xml:space="preserve"> de </w:t>
      </w:r>
      <w:proofErr w:type="spellStart"/>
      <w:r w:rsidRPr="00143DA9">
        <w:rPr>
          <w:color w:val="424242"/>
          <w:lang w:val="en-US"/>
        </w:rPr>
        <w:t>învățământ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pentru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anul</w:t>
      </w:r>
      <w:proofErr w:type="spellEnd"/>
      <w:r w:rsidRPr="00143DA9">
        <w:rPr>
          <w:color w:val="424242"/>
          <w:lang w:val="en-US"/>
        </w:rPr>
        <w:t xml:space="preserve"> 2022, </w:t>
      </w:r>
      <w:proofErr w:type="spellStart"/>
      <w:r w:rsidRPr="00143DA9">
        <w:rPr>
          <w:color w:val="424242"/>
          <w:lang w:val="en-US"/>
        </w:rPr>
        <w:t>după</w:t>
      </w:r>
      <w:proofErr w:type="spellEnd"/>
      <w:r w:rsidRPr="00143DA9">
        <w:rPr>
          <w:color w:val="424242"/>
          <w:lang w:val="en-US"/>
        </w:rPr>
        <w:t xml:space="preserve"> cum </w:t>
      </w:r>
      <w:proofErr w:type="spellStart"/>
      <w:r w:rsidRPr="00143DA9">
        <w:rPr>
          <w:color w:val="424242"/>
          <w:lang w:val="en-US"/>
        </w:rPr>
        <w:t>urmează</w:t>
      </w:r>
      <w:proofErr w:type="spellEnd"/>
      <w:proofErr w:type="gramStart"/>
      <w:r w:rsidRPr="00143DA9">
        <w:rPr>
          <w:color w:val="424242"/>
          <w:lang w:val="en-US"/>
        </w:rPr>
        <w:t>:</w:t>
      </w:r>
      <w:proofErr w:type="gramEnd"/>
      <w:r w:rsidRPr="00143DA9">
        <w:rPr>
          <w:color w:val="424242"/>
          <w:lang w:val="en-US"/>
        </w:rPr>
        <w:br/>
        <w:t xml:space="preserve">a) </w:t>
      </w:r>
      <w:proofErr w:type="spellStart"/>
      <w:r w:rsidRPr="00143DA9">
        <w:rPr>
          <w:color w:val="424242"/>
          <w:lang w:val="en-US"/>
        </w:rPr>
        <w:t>pentru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copiii</w:t>
      </w:r>
      <w:proofErr w:type="spellEnd"/>
      <w:r w:rsidRPr="00143DA9">
        <w:rPr>
          <w:color w:val="424242"/>
          <w:lang w:val="en-US"/>
        </w:rPr>
        <w:t xml:space="preserve"> din </w:t>
      </w:r>
      <w:proofErr w:type="spellStart"/>
      <w:r w:rsidRPr="00143DA9">
        <w:rPr>
          <w:color w:val="424242"/>
          <w:lang w:val="en-US"/>
        </w:rPr>
        <w:t>instituţiile</w:t>
      </w:r>
      <w:proofErr w:type="spellEnd"/>
      <w:r w:rsidRPr="00143DA9">
        <w:rPr>
          <w:color w:val="424242"/>
          <w:lang w:val="en-US"/>
        </w:rPr>
        <w:t xml:space="preserve"> de </w:t>
      </w:r>
      <w:proofErr w:type="spellStart"/>
      <w:r w:rsidRPr="00143DA9">
        <w:rPr>
          <w:color w:val="424242"/>
          <w:lang w:val="en-US"/>
        </w:rPr>
        <w:t>educație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antepreșcolară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și</w:t>
      </w:r>
      <w:proofErr w:type="spellEnd"/>
      <w:r w:rsidRPr="00143DA9">
        <w:rPr>
          <w:color w:val="424242"/>
          <w:lang w:val="en-US"/>
        </w:rPr>
        <w:t xml:space="preserve"> de </w:t>
      </w:r>
      <w:proofErr w:type="spellStart"/>
      <w:r w:rsidRPr="00143DA9">
        <w:rPr>
          <w:color w:val="424242"/>
          <w:lang w:val="en-US"/>
        </w:rPr>
        <w:t>învățământ</w:t>
      </w:r>
      <w:proofErr w:type="spellEnd"/>
      <w:r w:rsidRPr="00143DA9">
        <w:rPr>
          <w:color w:val="424242"/>
          <w:lang w:val="en-US"/>
        </w:rPr>
        <w:t xml:space="preserve"> </w:t>
      </w:r>
      <w:proofErr w:type="spellStart"/>
      <w:r w:rsidRPr="00143DA9">
        <w:rPr>
          <w:color w:val="424242"/>
          <w:lang w:val="en-US"/>
        </w:rPr>
        <w:t>preșcolar</w:t>
      </w:r>
      <w:proofErr w:type="spellEnd"/>
      <w:r w:rsidRPr="00143DA9">
        <w:rPr>
          <w:color w:val="424242"/>
          <w:lang w:val="en-US"/>
        </w:rPr>
        <w:t>: </w:t>
      </w:r>
    </w:p>
    <w:p w:rsidR="00143DA9" w:rsidRPr="00143DA9" w:rsidRDefault="00143DA9" w:rsidP="00143DA9">
      <w:pPr>
        <w:pStyle w:val="a3"/>
        <w:shd w:val="clear" w:color="auto" w:fill="FFFFFF"/>
        <w:spacing w:before="0" w:beforeAutospacing="0" w:after="0" w:afterAutospacing="0"/>
        <w:rPr>
          <w:color w:val="424242"/>
          <w:lang w:val="en-US"/>
        </w:rPr>
      </w:pPr>
    </w:p>
    <w:p w:rsidR="00143DA9" w:rsidRPr="00143DA9" w:rsidRDefault="00143DA9" w:rsidP="00143DA9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</w:rPr>
      </w:pPr>
      <w:r w:rsidRPr="00143DA9">
        <w:rPr>
          <w:noProof/>
          <w:color w:val="424242"/>
        </w:rPr>
        <w:drawing>
          <wp:inline distT="0" distB="0" distL="0" distR="0" wp14:anchorId="772B031D" wp14:editId="482363F9">
            <wp:extent cx="6052738" cy="1303719"/>
            <wp:effectExtent l="0" t="0" r="5715" b="0"/>
            <wp:docPr id="2" name="Рисунок 2" descr="https://monitorul.fisc.md/uploads/al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itorul.fisc.md/uploads/ali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443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96" w:rsidRDefault="00A50C96" w:rsidP="00A50C96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lang w:val="en-US"/>
        </w:rPr>
      </w:pPr>
    </w:p>
    <w:p w:rsidR="001A64D6" w:rsidRDefault="00A50C96" w:rsidP="001A64D6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lang w:val="en-US"/>
        </w:rPr>
      </w:pPr>
      <w:r>
        <w:rPr>
          <w:color w:val="424242"/>
          <w:lang w:val="en-US"/>
        </w:rPr>
        <w:t xml:space="preserve">2. </w:t>
      </w:r>
      <w:r w:rsidR="00143DA9" w:rsidRPr="00143DA9">
        <w:rPr>
          <w:color w:val="424242"/>
          <w:lang w:val="en-US"/>
        </w:rPr>
        <w:t xml:space="preserve">Taxa de </w:t>
      </w:r>
      <w:proofErr w:type="spellStart"/>
      <w:r w:rsidR="00143DA9" w:rsidRPr="00143DA9">
        <w:rPr>
          <w:color w:val="424242"/>
          <w:lang w:val="en-US"/>
        </w:rPr>
        <w:t>întreţinere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în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instituţiile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educație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antepreșcolară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și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învățământ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preşcolar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pentru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fiecare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zi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frecventată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constituie</w:t>
      </w:r>
      <w:proofErr w:type="spellEnd"/>
      <w:r w:rsidR="00143DA9" w:rsidRPr="00143DA9">
        <w:rPr>
          <w:color w:val="424242"/>
          <w:lang w:val="en-US"/>
        </w:rPr>
        <w:t xml:space="preserve"> 50 la </w:t>
      </w:r>
      <w:proofErr w:type="spellStart"/>
      <w:r w:rsidR="00143DA9" w:rsidRPr="00143DA9">
        <w:rPr>
          <w:color w:val="424242"/>
          <w:lang w:val="en-US"/>
        </w:rPr>
        <w:t>sută</w:t>
      </w:r>
      <w:proofErr w:type="spellEnd"/>
      <w:r w:rsidR="00143DA9" w:rsidRPr="00143DA9">
        <w:rPr>
          <w:color w:val="424242"/>
          <w:lang w:val="en-US"/>
        </w:rPr>
        <w:t xml:space="preserve"> din </w:t>
      </w:r>
      <w:proofErr w:type="spellStart"/>
      <w:r w:rsidR="00143DA9" w:rsidRPr="00143DA9">
        <w:rPr>
          <w:color w:val="424242"/>
          <w:lang w:val="en-US"/>
        </w:rPr>
        <w:t>costul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normelor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cheltuieli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pentru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alimentarea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copiilor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suportate</w:t>
      </w:r>
      <w:proofErr w:type="spellEnd"/>
      <w:r w:rsidR="00143DA9" w:rsidRPr="00143DA9">
        <w:rPr>
          <w:color w:val="424242"/>
          <w:lang w:val="en-US"/>
        </w:rPr>
        <w:t xml:space="preserve"> de la </w:t>
      </w:r>
      <w:proofErr w:type="spellStart"/>
      <w:r w:rsidR="00143DA9" w:rsidRPr="00143DA9">
        <w:rPr>
          <w:color w:val="424242"/>
          <w:lang w:val="en-US"/>
        </w:rPr>
        <w:t>buget</w:t>
      </w:r>
      <w:proofErr w:type="spellEnd"/>
      <w:r w:rsidR="00143DA9" w:rsidRPr="00143DA9">
        <w:rPr>
          <w:color w:val="424242"/>
          <w:lang w:val="en-US"/>
        </w:rPr>
        <w:t xml:space="preserve">, conform </w:t>
      </w:r>
      <w:proofErr w:type="spellStart"/>
      <w:r w:rsidR="00143DA9" w:rsidRPr="00143DA9">
        <w:rPr>
          <w:color w:val="424242"/>
          <w:lang w:val="en-US"/>
        </w:rPr>
        <w:t>Ho</w:t>
      </w:r>
      <w:r>
        <w:rPr>
          <w:color w:val="424242"/>
          <w:lang w:val="en-US"/>
        </w:rPr>
        <w:t>tărârii</w:t>
      </w:r>
      <w:proofErr w:type="spellEnd"/>
      <w:r>
        <w:rPr>
          <w:color w:val="424242"/>
          <w:lang w:val="en-US"/>
        </w:rPr>
        <w:t xml:space="preserve"> </w:t>
      </w:r>
      <w:proofErr w:type="spellStart"/>
      <w:r>
        <w:rPr>
          <w:color w:val="424242"/>
          <w:lang w:val="en-US"/>
        </w:rPr>
        <w:t>Guvernului</w:t>
      </w:r>
      <w:proofErr w:type="spellEnd"/>
      <w:r>
        <w:rPr>
          <w:color w:val="424242"/>
          <w:lang w:val="en-US"/>
        </w:rPr>
        <w:t xml:space="preserve"> </w:t>
      </w:r>
      <w:proofErr w:type="spellStart"/>
      <w:r>
        <w:rPr>
          <w:color w:val="424242"/>
          <w:lang w:val="en-US"/>
        </w:rPr>
        <w:t>nr</w:t>
      </w:r>
      <w:proofErr w:type="spellEnd"/>
      <w:r>
        <w:rPr>
          <w:color w:val="424242"/>
          <w:lang w:val="en-US"/>
        </w:rPr>
        <w:t xml:space="preserve">. </w:t>
      </w:r>
      <w:proofErr w:type="gramStart"/>
      <w:r>
        <w:rPr>
          <w:color w:val="424242"/>
          <w:lang w:val="en-US"/>
        </w:rPr>
        <w:t>198/1993.</w:t>
      </w:r>
      <w:proofErr w:type="gramEnd"/>
    </w:p>
    <w:p w:rsidR="00143DA9" w:rsidRPr="001A64D6" w:rsidRDefault="001A64D6" w:rsidP="001A64D6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lang w:val="en-US"/>
        </w:rPr>
      </w:pPr>
      <w:r>
        <w:rPr>
          <w:color w:val="424242"/>
          <w:lang w:val="en-US"/>
        </w:rPr>
        <w:br/>
        <w:t xml:space="preserve">3. </w:t>
      </w:r>
      <w:proofErr w:type="spellStart"/>
      <w:r>
        <w:rPr>
          <w:color w:val="424242"/>
          <w:lang w:val="en-US"/>
        </w:rPr>
        <w:t>P</w:t>
      </w:r>
      <w:r w:rsidR="00143DA9" w:rsidRPr="00143DA9">
        <w:rPr>
          <w:color w:val="424242"/>
          <w:lang w:val="en-US"/>
        </w:rPr>
        <w:t>entru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alimentarea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gratuită</w:t>
      </w:r>
      <w:proofErr w:type="spellEnd"/>
      <w:r w:rsidR="00143DA9" w:rsidRPr="00143DA9">
        <w:rPr>
          <w:color w:val="424242"/>
          <w:lang w:val="en-US"/>
        </w:rPr>
        <w:t xml:space="preserve"> a </w:t>
      </w:r>
      <w:proofErr w:type="spellStart"/>
      <w:r w:rsidR="00143DA9" w:rsidRPr="00143DA9">
        <w:rPr>
          <w:color w:val="424242"/>
          <w:lang w:val="en-US"/>
        </w:rPr>
        <w:t>elevilor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claselor</w:t>
      </w:r>
      <w:proofErr w:type="spellEnd"/>
      <w:r w:rsidR="00143DA9" w:rsidRPr="00143DA9">
        <w:rPr>
          <w:color w:val="424242"/>
          <w:lang w:val="en-US"/>
        </w:rPr>
        <w:t xml:space="preserve"> I-IV din </w:t>
      </w:r>
      <w:proofErr w:type="spellStart"/>
      <w:r w:rsidR="00143DA9" w:rsidRPr="00143DA9">
        <w:rPr>
          <w:color w:val="424242"/>
          <w:lang w:val="en-US"/>
        </w:rPr>
        <w:t>instituţiile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învăţământ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publice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şi</w:t>
      </w:r>
      <w:proofErr w:type="spellEnd"/>
      <w:r w:rsidR="00143DA9" w:rsidRPr="00143DA9">
        <w:rPr>
          <w:color w:val="424242"/>
          <w:lang w:val="en-US"/>
        </w:rPr>
        <w:t xml:space="preserve"> private, </w:t>
      </w:r>
      <w:proofErr w:type="spellStart"/>
      <w:r w:rsidR="00143DA9" w:rsidRPr="00143DA9">
        <w:rPr>
          <w:color w:val="424242"/>
          <w:lang w:val="en-US"/>
        </w:rPr>
        <w:t>precum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şi</w:t>
      </w:r>
      <w:proofErr w:type="spellEnd"/>
      <w:r w:rsidR="00143DA9" w:rsidRPr="00143DA9">
        <w:rPr>
          <w:color w:val="424242"/>
          <w:lang w:val="en-US"/>
        </w:rPr>
        <w:t xml:space="preserve"> a </w:t>
      </w:r>
      <w:proofErr w:type="spellStart"/>
      <w:r w:rsidR="00143DA9" w:rsidRPr="00143DA9">
        <w:rPr>
          <w:color w:val="424242"/>
          <w:lang w:val="en-US"/>
        </w:rPr>
        <w:t>elevilor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claselor</w:t>
      </w:r>
      <w:proofErr w:type="spellEnd"/>
      <w:r w:rsidR="00143DA9" w:rsidRPr="00143DA9">
        <w:rPr>
          <w:color w:val="424242"/>
          <w:lang w:val="en-US"/>
        </w:rPr>
        <w:t xml:space="preserve"> V-XII din </w:t>
      </w:r>
      <w:proofErr w:type="spellStart"/>
      <w:r w:rsidR="00143DA9" w:rsidRPr="00143DA9">
        <w:rPr>
          <w:color w:val="424242"/>
          <w:lang w:val="en-US"/>
        </w:rPr>
        <w:t>instituţiile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învăţământ</w:t>
      </w:r>
      <w:proofErr w:type="spellEnd"/>
      <w:r w:rsidR="00143DA9" w:rsidRPr="00143DA9">
        <w:rPr>
          <w:color w:val="424242"/>
          <w:lang w:val="en-US"/>
        </w:rPr>
        <w:t xml:space="preserve"> din </w:t>
      </w:r>
      <w:proofErr w:type="spellStart"/>
      <w:r w:rsidR="00143DA9" w:rsidRPr="00143DA9">
        <w:rPr>
          <w:color w:val="424242"/>
          <w:lang w:val="en-US"/>
        </w:rPr>
        <w:t>raioanele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est</w:t>
      </w:r>
      <w:proofErr w:type="spellEnd"/>
      <w:r w:rsidR="00143DA9" w:rsidRPr="00143DA9">
        <w:rPr>
          <w:color w:val="424242"/>
          <w:lang w:val="en-US"/>
        </w:rPr>
        <w:t xml:space="preserve"> ale </w:t>
      </w:r>
      <w:proofErr w:type="spellStart"/>
      <w:r w:rsidR="00143DA9" w:rsidRPr="00143DA9">
        <w:rPr>
          <w:color w:val="424242"/>
          <w:lang w:val="en-US"/>
        </w:rPr>
        <w:t>Republicii</w:t>
      </w:r>
      <w:proofErr w:type="spellEnd"/>
      <w:r w:rsidR="00143DA9" w:rsidRPr="00143DA9">
        <w:rPr>
          <w:color w:val="424242"/>
          <w:lang w:val="en-US"/>
        </w:rPr>
        <w:t xml:space="preserve"> Moldova, </w:t>
      </w:r>
      <w:proofErr w:type="spellStart"/>
      <w:r w:rsidR="00143DA9" w:rsidRPr="00143DA9">
        <w:rPr>
          <w:color w:val="424242"/>
          <w:lang w:val="en-US"/>
        </w:rPr>
        <w:t>subordonate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Ministerului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Educaţiei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și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Cercetării</w:t>
      </w:r>
      <w:proofErr w:type="spellEnd"/>
      <w:r w:rsidR="00143DA9" w:rsidRPr="00143DA9">
        <w:rPr>
          <w:color w:val="424242"/>
          <w:lang w:val="en-US"/>
        </w:rPr>
        <w:t xml:space="preserve">, </w:t>
      </w:r>
      <w:proofErr w:type="spellStart"/>
      <w:r w:rsidR="00143DA9" w:rsidRPr="00143DA9">
        <w:rPr>
          <w:color w:val="424242"/>
          <w:lang w:val="en-US"/>
        </w:rPr>
        <w:t>şi</w:t>
      </w:r>
      <w:proofErr w:type="spellEnd"/>
      <w:r w:rsidR="00143DA9" w:rsidRPr="00143DA9">
        <w:rPr>
          <w:color w:val="424242"/>
          <w:lang w:val="en-US"/>
        </w:rPr>
        <w:t xml:space="preserve"> din </w:t>
      </w:r>
      <w:proofErr w:type="spellStart"/>
      <w:r w:rsidR="00143DA9" w:rsidRPr="00143DA9">
        <w:rPr>
          <w:color w:val="424242"/>
          <w:lang w:val="en-US"/>
        </w:rPr>
        <w:t>instituţiile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învăţământ</w:t>
      </w:r>
      <w:proofErr w:type="spellEnd"/>
      <w:r w:rsidR="00143DA9" w:rsidRPr="00143DA9">
        <w:rPr>
          <w:color w:val="424242"/>
          <w:lang w:val="en-US"/>
        </w:rPr>
        <w:t xml:space="preserve"> din </w:t>
      </w:r>
      <w:proofErr w:type="spellStart"/>
      <w:r w:rsidR="00143DA9" w:rsidRPr="00143DA9">
        <w:rPr>
          <w:color w:val="424242"/>
          <w:lang w:val="en-US"/>
        </w:rPr>
        <w:t>raioanele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Dubăsari</w:t>
      </w:r>
      <w:proofErr w:type="spellEnd"/>
      <w:r w:rsidR="00143DA9" w:rsidRPr="00143DA9">
        <w:rPr>
          <w:color w:val="424242"/>
          <w:lang w:val="en-US"/>
        </w:rPr>
        <w:t xml:space="preserve">, </w:t>
      </w:r>
      <w:proofErr w:type="spellStart"/>
      <w:r w:rsidR="00143DA9" w:rsidRPr="00143DA9">
        <w:rPr>
          <w:color w:val="424242"/>
          <w:lang w:val="en-US"/>
        </w:rPr>
        <w:t>Căuşeni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şi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Anenii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Noi</w:t>
      </w:r>
      <w:proofErr w:type="spellEnd"/>
      <w:r w:rsidR="00143DA9" w:rsidRPr="00143DA9">
        <w:rPr>
          <w:color w:val="424242"/>
          <w:lang w:val="en-US"/>
        </w:rPr>
        <w:t xml:space="preserve">, </w:t>
      </w:r>
      <w:proofErr w:type="spellStart"/>
      <w:r w:rsidR="00143DA9" w:rsidRPr="00143DA9">
        <w:rPr>
          <w:color w:val="424242"/>
          <w:lang w:val="en-US"/>
        </w:rPr>
        <w:t>amplasate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în</w:t>
      </w:r>
      <w:proofErr w:type="spellEnd"/>
      <w:r w:rsidR="00143DA9" w:rsidRPr="00143DA9">
        <w:rPr>
          <w:color w:val="424242"/>
          <w:lang w:val="en-US"/>
        </w:rPr>
        <w:t xml:space="preserve"> zona de </w:t>
      </w:r>
      <w:proofErr w:type="spellStart"/>
      <w:r w:rsidR="00143DA9" w:rsidRPr="00143DA9">
        <w:rPr>
          <w:color w:val="424242"/>
          <w:lang w:val="en-US"/>
        </w:rPr>
        <w:t>securitate</w:t>
      </w:r>
      <w:proofErr w:type="spellEnd"/>
      <w:r w:rsidR="00143DA9" w:rsidRPr="00143DA9">
        <w:rPr>
          <w:color w:val="424242"/>
          <w:lang w:val="en-US"/>
        </w:rPr>
        <w:t xml:space="preserve">, conform </w:t>
      </w:r>
      <w:proofErr w:type="spellStart"/>
      <w:r w:rsidR="00143DA9" w:rsidRPr="00143DA9">
        <w:rPr>
          <w:color w:val="424242"/>
          <w:lang w:val="en-US"/>
        </w:rPr>
        <w:t>anexei</w:t>
      </w:r>
      <w:proofErr w:type="spellEnd"/>
      <w:r w:rsidR="00143DA9" w:rsidRPr="00143DA9">
        <w:rPr>
          <w:color w:val="424242"/>
          <w:lang w:val="en-US"/>
        </w:rPr>
        <w:t xml:space="preserve"> la </w:t>
      </w:r>
      <w:proofErr w:type="spellStart"/>
      <w:r w:rsidR="00143DA9" w:rsidRPr="00143DA9">
        <w:rPr>
          <w:color w:val="424242"/>
          <w:lang w:val="en-US"/>
        </w:rPr>
        <w:t>Hotărârea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Guvernului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nr</w:t>
      </w:r>
      <w:proofErr w:type="spellEnd"/>
      <w:r w:rsidR="00143DA9" w:rsidRPr="00143DA9">
        <w:rPr>
          <w:color w:val="424242"/>
          <w:lang w:val="en-US"/>
        </w:rPr>
        <w:t xml:space="preserve">. 234/2005 cu </w:t>
      </w:r>
      <w:proofErr w:type="spellStart"/>
      <w:r w:rsidR="00143DA9" w:rsidRPr="00143DA9">
        <w:rPr>
          <w:color w:val="424242"/>
          <w:lang w:val="en-US"/>
        </w:rPr>
        <w:t>privire</w:t>
      </w:r>
      <w:proofErr w:type="spellEnd"/>
      <w:r w:rsidR="00143DA9" w:rsidRPr="00143DA9">
        <w:rPr>
          <w:color w:val="424242"/>
          <w:lang w:val="en-US"/>
        </w:rPr>
        <w:t xml:space="preserve"> la </w:t>
      </w:r>
      <w:proofErr w:type="spellStart"/>
      <w:r w:rsidR="00143DA9" w:rsidRPr="00143DA9">
        <w:rPr>
          <w:color w:val="424242"/>
          <w:lang w:val="en-US"/>
        </w:rPr>
        <w:t>alimentarea</w:t>
      </w:r>
      <w:proofErr w:type="spellEnd"/>
      <w:r w:rsidR="00A50C96">
        <w:rPr>
          <w:color w:val="424242"/>
          <w:lang w:val="en-US"/>
        </w:rPr>
        <w:t xml:space="preserve"> </w:t>
      </w:r>
      <w:proofErr w:type="spellStart"/>
      <w:r w:rsidR="00A50C96">
        <w:rPr>
          <w:color w:val="424242"/>
          <w:lang w:val="en-US"/>
        </w:rPr>
        <w:t>elevilor</w:t>
      </w:r>
      <w:proofErr w:type="spellEnd"/>
      <w:r w:rsidR="00A50C96">
        <w:rPr>
          <w:color w:val="424242"/>
          <w:lang w:val="en-US"/>
        </w:rPr>
        <w:t xml:space="preserve"> – </w:t>
      </w:r>
      <w:r w:rsidR="00A50C96" w:rsidRPr="001A64D6">
        <w:rPr>
          <w:b/>
          <w:color w:val="424242"/>
          <w:lang w:val="en-US"/>
        </w:rPr>
        <w:t>13</w:t>
      </w:r>
      <w:proofErr w:type="gramStart"/>
      <w:r w:rsidR="00A50C96" w:rsidRPr="001A64D6">
        <w:rPr>
          <w:b/>
          <w:color w:val="424242"/>
          <w:lang w:val="en-US"/>
        </w:rPr>
        <w:t>,00</w:t>
      </w:r>
      <w:proofErr w:type="gramEnd"/>
      <w:r w:rsidR="00A50C96" w:rsidRPr="001A64D6">
        <w:rPr>
          <w:b/>
          <w:color w:val="424242"/>
          <w:lang w:val="en-US"/>
        </w:rPr>
        <w:t xml:space="preserve"> </w:t>
      </w:r>
      <w:r w:rsidR="00A50C96" w:rsidRPr="001A64D6">
        <w:rPr>
          <w:color w:val="424242"/>
          <w:lang w:val="en-US"/>
        </w:rPr>
        <w:t xml:space="preserve">lei/ </w:t>
      </w:r>
      <w:proofErr w:type="spellStart"/>
      <w:r w:rsidR="00A50C96" w:rsidRPr="001A64D6">
        <w:rPr>
          <w:color w:val="424242"/>
          <w:lang w:val="en-US"/>
        </w:rPr>
        <w:t>zi</w:t>
      </w:r>
      <w:proofErr w:type="spellEnd"/>
      <w:r w:rsidR="00A50C96" w:rsidRPr="001A64D6">
        <w:rPr>
          <w:color w:val="424242"/>
          <w:lang w:val="en-US"/>
        </w:rPr>
        <w:t>/elev.</w:t>
      </w:r>
    </w:p>
    <w:p w:rsidR="00143DA9" w:rsidRPr="00A50C96" w:rsidRDefault="00143DA9" w:rsidP="00143DA9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lang w:val="en-US"/>
        </w:rPr>
      </w:pPr>
    </w:p>
    <w:p w:rsidR="00143DA9" w:rsidRPr="00143DA9" w:rsidRDefault="001A64D6" w:rsidP="00143DA9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lang w:val="en-US"/>
        </w:rPr>
      </w:pPr>
      <w:r w:rsidRPr="001A64D6">
        <w:rPr>
          <w:rStyle w:val="a4"/>
          <w:b w:val="0"/>
          <w:iCs/>
          <w:color w:val="424242"/>
          <w:lang w:val="en-US"/>
        </w:rPr>
        <w:t>4</w:t>
      </w:r>
      <w:r w:rsidR="00143DA9" w:rsidRPr="00143DA9">
        <w:rPr>
          <w:rStyle w:val="a4"/>
          <w:i/>
          <w:iCs/>
          <w:color w:val="424242"/>
          <w:lang w:val="en-US"/>
        </w:rPr>
        <w:t>.</w:t>
      </w:r>
      <w:r w:rsidR="00143DA9" w:rsidRPr="00143DA9">
        <w:rPr>
          <w:color w:val="424242"/>
          <w:lang w:val="en-US"/>
        </w:rPr>
        <w:t> </w:t>
      </w:r>
      <w:proofErr w:type="spellStart"/>
      <w:r w:rsidR="00143DA9" w:rsidRPr="00143DA9">
        <w:rPr>
          <w:color w:val="424242"/>
          <w:lang w:val="en-US"/>
        </w:rPr>
        <w:t>Prezentul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ordin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intră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în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vigoare</w:t>
      </w:r>
      <w:proofErr w:type="spellEnd"/>
      <w:r w:rsidR="00143DA9" w:rsidRPr="00143DA9">
        <w:rPr>
          <w:color w:val="424242"/>
          <w:lang w:val="en-US"/>
        </w:rPr>
        <w:t xml:space="preserve"> la data de 1 </w:t>
      </w:r>
      <w:proofErr w:type="spellStart"/>
      <w:r w:rsidR="00143DA9" w:rsidRPr="00143DA9">
        <w:rPr>
          <w:color w:val="424242"/>
          <w:lang w:val="en-US"/>
        </w:rPr>
        <w:t>martie</w:t>
      </w:r>
      <w:proofErr w:type="spellEnd"/>
      <w:r w:rsidR="00143DA9" w:rsidRPr="00143DA9">
        <w:rPr>
          <w:color w:val="424242"/>
          <w:lang w:val="en-US"/>
        </w:rPr>
        <w:t xml:space="preserve"> 2022. </w:t>
      </w:r>
      <w:proofErr w:type="spellStart"/>
      <w:proofErr w:type="gramStart"/>
      <w:r w:rsidR="00143DA9" w:rsidRPr="00143DA9">
        <w:rPr>
          <w:color w:val="424242"/>
          <w:lang w:val="en-US"/>
        </w:rPr>
        <w:t>Pentru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lunile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ianuarie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și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februarie</w:t>
      </w:r>
      <w:proofErr w:type="spellEnd"/>
      <w:r w:rsidR="00143DA9" w:rsidRPr="00143DA9">
        <w:rPr>
          <w:color w:val="424242"/>
          <w:lang w:val="en-US"/>
        </w:rPr>
        <w:t xml:space="preserve"> 2022 se </w:t>
      </w:r>
      <w:proofErr w:type="spellStart"/>
      <w:r w:rsidR="00143DA9" w:rsidRPr="00143DA9">
        <w:rPr>
          <w:color w:val="424242"/>
          <w:lang w:val="en-US"/>
        </w:rPr>
        <w:t>vor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aplica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normele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financiare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pentru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alimentarea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copiilor</w:t>
      </w:r>
      <w:proofErr w:type="spellEnd"/>
      <w:r w:rsidR="00143DA9" w:rsidRPr="00143DA9">
        <w:rPr>
          <w:color w:val="424242"/>
          <w:lang w:val="en-US"/>
        </w:rPr>
        <w:t>/</w:t>
      </w:r>
      <w:proofErr w:type="spellStart"/>
      <w:r w:rsidR="00143DA9" w:rsidRPr="00143DA9">
        <w:rPr>
          <w:color w:val="424242"/>
          <w:lang w:val="en-US"/>
        </w:rPr>
        <w:t>elevilor</w:t>
      </w:r>
      <w:proofErr w:type="spellEnd"/>
      <w:r w:rsidR="00143DA9" w:rsidRPr="00143DA9">
        <w:rPr>
          <w:color w:val="424242"/>
          <w:lang w:val="en-US"/>
        </w:rPr>
        <w:t xml:space="preserve"> din </w:t>
      </w:r>
      <w:proofErr w:type="spellStart"/>
      <w:r w:rsidR="00143DA9" w:rsidRPr="00143DA9">
        <w:rPr>
          <w:color w:val="424242"/>
          <w:lang w:val="en-US"/>
        </w:rPr>
        <w:t>instituțiile</w:t>
      </w:r>
      <w:proofErr w:type="spellEnd"/>
      <w:r w:rsidR="00143DA9" w:rsidRPr="00143DA9">
        <w:rPr>
          <w:color w:val="424242"/>
          <w:lang w:val="en-US"/>
        </w:rPr>
        <w:t xml:space="preserve"> de </w:t>
      </w:r>
      <w:proofErr w:type="spellStart"/>
      <w:r w:rsidR="00143DA9" w:rsidRPr="00143DA9">
        <w:rPr>
          <w:color w:val="424242"/>
          <w:lang w:val="en-US"/>
        </w:rPr>
        <w:t>învățământ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valabile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pentru</w:t>
      </w:r>
      <w:proofErr w:type="spellEnd"/>
      <w:r w:rsidR="00143DA9" w:rsidRPr="00143DA9">
        <w:rPr>
          <w:color w:val="424242"/>
          <w:lang w:val="en-US"/>
        </w:rPr>
        <w:t xml:space="preserve"> </w:t>
      </w:r>
      <w:proofErr w:type="spellStart"/>
      <w:r w:rsidR="00143DA9" w:rsidRPr="00143DA9">
        <w:rPr>
          <w:color w:val="424242"/>
          <w:lang w:val="en-US"/>
        </w:rPr>
        <w:t>anul</w:t>
      </w:r>
      <w:proofErr w:type="spellEnd"/>
      <w:r w:rsidR="00143DA9" w:rsidRPr="00143DA9">
        <w:rPr>
          <w:color w:val="424242"/>
          <w:lang w:val="en-US"/>
        </w:rPr>
        <w:t xml:space="preserve"> 2021.</w:t>
      </w:r>
      <w:proofErr w:type="gramEnd"/>
    </w:p>
    <w:p w:rsidR="002C03BA" w:rsidRDefault="002C03BA" w:rsidP="00143D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64D6" w:rsidRPr="00143DA9" w:rsidRDefault="001A64D6" w:rsidP="00143DA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A64D6" w:rsidRPr="0014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DA"/>
    <w:rsid w:val="00143DA9"/>
    <w:rsid w:val="001A64D6"/>
    <w:rsid w:val="002C03BA"/>
    <w:rsid w:val="00483151"/>
    <w:rsid w:val="007C65DA"/>
    <w:rsid w:val="0081763C"/>
    <w:rsid w:val="008625F0"/>
    <w:rsid w:val="00A5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D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D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3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A5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D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D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3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A5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2022-03-02T12:05:00Z</cp:lastPrinted>
  <dcterms:created xsi:type="dcterms:W3CDTF">2022-02-26T11:03:00Z</dcterms:created>
  <dcterms:modified xsi:type="dcterms:W3CDTF">2022-03-02T13:52:00Z</dcterms:modified>
</cp:coreProperties>
</file>