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page" w:tblpX="573" w:tblpY="536"/>
        <w:tblW w:w="15195" w:type="dxa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039"/>
        <w:gridCol w:w="798"/>
        <w:gridCol w:w="2760"/>
        <w:gridCol w:w="1380"/>
        <w:gridCol w:w="1380"/>
        <w:gridCol w:w="4838"/>
      </w:tblGrid>
      <w:tr w:rsidR="00057208" w:rsidRPr="00057208" w:rsidTr="0062353C">
        <w:trPr>
          <w:cantSplit/>
          <w:trHeight w:hRule="exact" w:val="10553"/>
          <w:tblHeader/>
          <w:jc w:val="left"/>
        </w:trPr>
        <w:tc>
          <w:tcPr>
            <w:tcW w:w="4039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:rsidR="00057208" w:rsidRPr="0062353C" w:rsidRDefault="00057208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ro-RO"/>
              </w:rPr>
              <w:t>Copii</w:t>
            </w: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>vârstă</w:t>
            </w:r>
            <w:proofErr w:type="spellEnd"/>
          </w:p>
          <w:p w:rsidR="00057208" w:rsidRPr="0062353C" w:rsidRDefault="00057208" w:rsidP="0062353C">
            <w:pPr>
              <w:pStyle w:val="affff8"/>
              <w:widowControl w:val="0"/>
              <w:spacing w:before="12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ro-RO"/>
              </w:rPr>
              <w:t>0</w:t>
            </w: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– 5 ani</w:t>
            </w:r>
          </w:p>
          <w:p w:rsidR="00057208" w:rsidRPr="0062353C" w:rsidRDefault="00057208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Tulburări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somn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57208" w:rsidRPr="0062353C" w:rsidRDefault="00057208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Enurezis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nocturn </w:t>
            </w:r>
          </w:p>
          <w:p w:rsidR="00057208" w:rsidRPr="0062353C" w:rsidRDefault="00057208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Anxietate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separare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excesiv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ro-RO"/>
              </w:rPr>
              <w:t>ă</w:t>
            </w:r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57208" w:rsidRPr="0062353C" w:rsidRDefault="00057208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Acuze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somatice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ro-RO"/>
              </w:rPr>
              <w:t>Copii</w:t>
            </w: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>vârstă</w:t>
            </w:r>
            <w:proofErr w:type="spellEnd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6 – 12 ani :</w:t>
            </w:r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Frică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abandon</w:t>
            </w:r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Frica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a fi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omorât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Neîncredere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Comportamente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reducere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tensiunilor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Încercarea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controla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comportamentul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părinţilor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Tulburări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alimentare</w:t>
            </w:r>
            <w:proofErr w:type="spellEnd"/>
          </w:p>
          <w:p w:rsidR="0062353C" w:rsidRPr="0062353C" w:rsidRDefault="0062353C" w:rsidP="0062353C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ro-RO"/>
              </w:rPr>
              <w:t>Copii</w:t>
            </w:r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>vârstă</w:t>
            </w:r>
            <w:proofErr w:type="spellEnd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>peste</w:t>
            </w:r>
            <w:proofErr w:type="spellEnd"/>
            <w:r w:rsidRPr="0062353C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13 ani</w:t>
            </w:r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:</w:t>
            </w:r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Consum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alcool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droguri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în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exces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Sarcini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timpurii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Idei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sau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tentative de suicide</w:t>
            </w:r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Delicvenţă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</w:pPr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Sentiment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vinovăţie</w:t>
            </w:r>
            <w:proofErr w:type="spellEnd"/>
          </w:p>
          <w:p w:rsidR="0062353C" w:rsidRPr="0062353C" w:rsidRDefault="0062353C" w:rsidP="0062353C">
            <w:pPr>
              <w:pStyle w:val="affff8"/>
              <w:widowControl w:val="0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Atitudini</w:t>
            </w:r>
            <w:proofErr w:type="spellEnd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353C">
              <w:rPr>
                <w:rFonts w:ascii="Times New Roman" w:hAnsi="Times New Roman" w:cs="Times New Roman"/>
                <w:color w:val="FFFFFF" w:themeColor="background1"/>
                <w:kern w:val="24"/>
                <w:sz w:val="24"/>
                <w:szCs w:val="24"/>
                <w:lang w:val="en-US"/>
              </w:rPr>
              <w:t>copiere</w:t>
            </w:r>
            <w:proofErr w:type="spellEnd"/>
          </w:p>
          <w:p w:rsidR="00057208" w:rsidRPr="0062353C" w:rsidRDefault="00057208" w:rsidP="0062353C">
            <w:pPr>
              <w:pStyle w:val="ab"/>
              <w:ind w:right="0"/>
              <w:rPr>
                <w:lang w:val="ro-RO"/>
              </w:rPr>
            </w:pPr>
          </w:p>
        </w:tc>
        <w:tc>
          <w:tcPr>
            <w:tcW w:w="798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057208" w:rsidRPr="0062353C" w:rsidRDefault="00057208" w:rsidP="0062353C">
            <w:pPr>
              <w:pStyle w:val="ab"/>
              <w:rPr>
                <w:lang w:val="en-US"/>
              </w:rPr>
            </w:pPr>
          </w:p>
        </w:tc>
        <w:tc>
          <w:tcPr>
            <w:tcW w:w="2760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057208" w:rsidRPr="0062353C" w:rsidRDefault="00057208" w:rsidP="0062353C">
            <w:pPr>
              <w:rPr>
                <w:lang w:val="en-US"/>
              </w:rPr>
            </w:pPr>
            <w:r w:rsidRPr="00FF14DE"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61312" behindDoc="0" locked="0" layoutInCell="1" allowOverlap="1" wp14:anchorId="1660B2A6" wp14:editId="16B240C5">
                  <wp:simplePos x="0" y="0"/>
                  <wp:positionH relativeFrom="column">
                    <wp:posOffset>-1801400</wp:posOffset>
                  </wp:positionH>
                  <wp:positionV relativeFrom="paragraph">
                    <wp:posOffset>1222323</wp:posOffset>
                  </wp:positionV>
                  <wp:extent cx="6212345" cy="3397250"/>
                  <wp:effectExtent l="0" t="2222" r="0" b="0"/>
                  <wp:wrapNone/>
                  <wp:docPr id="3" name="Рисунок 3" descr="178906_253152381452940_31826409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78906_253152381452940_31826409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212345" cy="339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tcMar>
              <w:top w:w="288" w:type="dxa"/>
              <w:right w:w="432" w:type="dxa"/>
            </w:tcMar>
          </w:tcPr>
          <w:p w:rsidR="00057208" w:rsidRPr="0062353C" w:rsidRDefault="00057208" w:rsidP="0062353C">
            <w:pPr>
              <w:rPr>
                <w:lang w:val="en-US"/>
              </w:rPr>
            </w:pPr>
          </w:p>
        </w:tc>
        <w:tc>
          <w:tcPr>
            <w:tcW w:w="1380" w:type="dxa"/>
            <w:tcBorders>
              <w:right w:val="single" w:sz="2" w:space="0" w:color="BFBFBF" w:themeColor="background1" w:themeShade="BF"/>
            </w:tcBorders>
          </w:tcPr>
          <w:p w:rsidR="00057208" w:rsidRPr="0062353C" w:rsidRDefault="00057208" w:rsidP="0062353C">
            <w:pPr>
              <w:rPr>
                <w:lang w:val="en-US"/>
              </w:rPr>
            </w:pPr>
          </w:p>
        </w:tc>
        <w:tc>
          <w:tcPr>
            <w:tcW w:w="4838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057208" w:rsidRPr="0062353C" w:rsidRDefault="00057208" w:rsidP="0062353C">
            <w:pPr>
              <w:pStyle w:val="af"/>
              <w:rPr>
                <w:sz w:val="72"/>
                <w:lang w:val="en-US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3360" behindDoc="0" locked="0" layoutInCell="1" allowOverlap="1" wp14:anchorId="71773D8B" wp14:editId="0680F2EA">
                  <wp:simplePos x="0" y="0"/>
                  <wp:positionH relativeFrom="column">
                    <wp:posOffset>-303579</wp:posOffset>
                  </wp:positionH>
                  <wp:positionV relativeFrom="paragraph">
                    <wp:posOffset>-172574</wp:posOffset>
                  </wp:positionV>
                  <wp:extent cx="3207076" cy="2098431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076" cy="209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57208" w:rsidRPr="0062353C" w:rsidRDefault="00057208" w:rsidP="0062353C">
            <w:pPr>
              <w:pStyle w:val="af1"/>
              <w:rPr>
                <w:sz w:val="72"/>
                <w:lang w:val="en-US"/>
              </w:rPr>
            </w:pPr>
          </w:p>
          <w:p w:rsidR="00057208" w:rsidRDefault="00057208" w:rsidP="0062353C">
            <w:pPr>
              <w:pStyle w:val="aa"/>
              <w:ind w:right="0"/>
              <w:rPr>
                <w:rFonts w:ascii="Times New Roman" w:eastAsia="Times New Roman" w:hAnsi="Times New Roman" w:cs="Times New Roman"/>
                <w:color w:val="572314"/>
                <w:kern w:val="24"/>
                <w:szCs w:val="36"/>
                <w:lang w:val="ro-RO" w:eastAsia="ru-RU"/>
                <w14:ligatures w14:val="none"/>
              </w:rPr>
            </w:pPr>
          </w:p>
          <w:p w:rsidR="00057208" w:rsidRDefault="00057208" w:rsidP="0062353C">
            <w:pPr>
              <w:pStyle w:val="aa"/>
              <w:ind w:right="0"/>
              <w:rPr>
                <w:rFonts w:ascii="Times New Roman" w:eastAsia="Times New Roman" w:hAnsi="Times New Roman" w:cs="Times New Roman"/>
                <w:color w:val="572314"/>
                <w:kern w:val="24"/>
                <w:szCs w:val="36"/>
                <w:lang w:val="ro-RO" w:eastAsia="ru-RU"/>
                <w14:ligatures w14:val="none"/>
              </w:rPr>
            </w:pPr>
          </w:p>
          <w:p w:rsidR="00057208" w:rsidRDefault="00057208" w:rsidP="0062353C">
            <w:pPr>
              <w:pStyle w:val="aa"/>
              <w:ind w:right="0"/>
              <w:rPr>
                <w:rFonts w:ascii="Times New Roman" w:eastAsia="Times New Roman" w:hAnsi="Times New Roman" w:cs="Times New Roman"/>
                <w:color w:val="572314"/>
                <w:kern w:val="24"/>
                <w:szCs w:val="36"/>
                <w:lang w:val="ro-RO" w:eastAsia="ru-RU"/>
                <w14:ligatures w14:val="none"/>
              </w:rPr>
            </w:pPr>
          </w:p>
          <w:p w:rsidR="00057208" w:rsidRPr="00057208" w:rsidRDefault="00057208" w:rsidP="0062353C">
            <w:pPr>
              <w:pStyle w:val="aa"/>
              <w:ind w:left="0" w:right="0"/>
              <w:jc w:val="center"/>
              <w:rPr>
                <w:b/>
                <w:sz w:val="48"/>
                <w:lang w:val="en-US"/>
              </w:rPr>
            </w:pPr>
            <w:r w:rsidRPr="00057208">
              <w:rPr>
                <w:rFonts w:ascii="Times New Roman" w:eastAsia="Times New Roman" w:hAnsi="Times New Roman" w:cs="Times New Roman"/>
                <w:b/>
                <w:color w:val="572314"/>
                <w:kern w:val="24"/>
                <w:sz w:val="48"/>
                <w:szCs w:val="36"/>
                <w:lang w:val="ro-RO" w:eastAsia="ru-RU"/>
                <w14:ligatures w14:val="none"/>
              </w:rPr>
              <w:t>EFECTELE VIOLENŢEI DOMESTICE ASUPRA COPIIL</w:t>
            </w:r>
            <w:bookmarkStart w:id="0" w:name="_GoBack"/>
            <w:bookmarkEnd w:id="0"/>
            <w:r w:rsidRPr="00057208">
              <w:rPr>
                <w:rFonts w:ascii="Times New Roman" w:eastAsia="Times New Roman" w:hAnsi="Times New Roman" w:cs="Times New Roman"/>
                <w:b/>
                <w:color w:val="572314"/>
                <w:kern w:val="24"/>
                <w:sz w:val="48"/>
                <w:szCs w:val="36"/>
                <w:lang w:val="ro-RO" w:eastAsia="ru-RU"/>
                <w14:ligatures w14:val="none"/>
              </w:rPr>
              <w:t>OR</w:t>
            </w:r>
          </w:p>
        </w:tc>
      </w:tr>
    </w:tbl>
    <w:p w:rsidR="00ED7C90" w:rsidRPr="0062353C" w:rsidRDefault="00057208" w:rsidP="00057208">
      <w:pPr>
        <w:pStyle w:val="affffd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2353C">
        <w:rPr>
          <w:rFonts w:ascii="Times New Roman" w:hAnsi="Times New Roman" w:cs="Times New Roman"/>
          <w:b/>
          <w:bCs/>
          <w:sz w:val="32"/>
          <w:szCs w:val="32"/>
          <w:lang w:val="ro-RO"/>
        </w:rPr>
        <w:t>Indicatorii fizici și comportamentali ai abuzului și neglijării</w:t>
      </w:r>
    </w:p>
    <w:p w:rsidR="00057208" w:rsidRPr="0062353C" w:rsidRDefault="00057208" w:rsidP="00057208">
      <w:pPr>
        <w:pStyle w:val="affffd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2353C">
        <w:rPr>
          <w:rFonts w:ascii="Times New Roman" w:hAnsi="Times New Roman" w:cs="Times New Roman"/>
          <w:b/>
          <w:bCs/>
          <w:sz w:val="28"/>
          <w:szCs w:val="28"/>
          <w:lang w:val="ro-RO"/>
        </w:rPr>
        <w:t>ABUZ EMOȚIONAL ȘI NEGLIJARE</w:t>
      </w:r>
    </w:p>
    <w:tbl>
      <w:tblPr>
        <w:tblStyle w:val="a6"/>
        <w:tblW w:w="15451" w:type="dxa"/>
        <w:tblInd w:w="-714" w:type="dxa"/>
        <w:tblLook w:val="04A0" w:firstRow="1" w:lastRow="0" w:firstColumn="1" w:lastColumn="0" w:noHBand="0" w:noVBand="1"/>
      </w:tblPr>
      <w:tblGrid>
        <w:gridCol w:w="7372"/>
        <w:gridCol w:w="8079"/>
      </w:tblGrid>
      <w:tr w:rsidR="00057208" w:rsidRPr="0062353C" w:rsidTr="0062353C">
        <w:trPr>
          <w:trHeight w:val="394"/>
        </w:trPr>
        <w:tc>
          <w:tcPr>
            <w:tcW w:w="7372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Indicatori fizici</w:t>
            </w:r>
          </w:p>
        </w:tc>
        <w:tc>
          <w:tcPr>
            <w:tcW w:w="8079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Indicatori comportamentali</w:t>
            </w:r>
          </w:p>
        </w:tc>
      </w:tr>
      <w:tr w:rsidR="00057208" w:rsidRPr="0062353C" w:rsidTr="0062353C">
        <w:trPr>
          <w:trHeight w:val="2965"/>
        </w:trPr>
        <w:tc>
          <w:tcPr>
            <w:tcW w:w="7372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Înălţimea şi greutatea sub nivelul vârstei Îmbrăcăminte nepotrivită pentru anotimp/vreme Igiena precară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Mirosul neplăcut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Întârzieri în dezvoltare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Obiceiuri neobişnuite sau schimbarea obiceiurilor Răni neexplicate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Subnutriţie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Vânătăi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Oboseala continua şi constantă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Înfăţişare apatică</w:t>
            </w:r>
          </w:p>
        </w:tc>
        <w:tc>
          <w:tcPr>
            <w:tcW w:w="8079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Cerşit, furat de mâncare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Agresivitate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Lipsa de la şcoală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Dificultăți de concentrare și probleme de învățare, nejustificate de vreo afecțiune a copilului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Foame cronică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Fuge de acasă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Copilul spune că nimeni nu îl îngrijeşte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Schimbare bruscă în comportament sau în evoluția școlară – comportamente extreme (comportament neastâmpărat depresie)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Abuz de alcool sau droguri.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Delicvență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Supradependent de adulţi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Comportament depresiv sau pasiv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Dovezi că se implică în activităţi periculoase şi/sau nesupravegheate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Copilul nu se dezvolta normal, este retardat, dovezi de interacţiune nepotrivită intre părinte şi copil</w:t>
            </w:r>
          </w:p>
        </w:tc>
      </w:tr>
      <w:tr w:rsidR="0062353C" w:rsidRPr="0062353C" w:rsidTr="0062353C">
        <w:trPr>
          <w:trHeight w:val="229"/>
        </w:trPr>
        <w:tc>
          <w:tcPr>
            <w:tcW w:w="15451" w:type="dxa"/>
            <w:gridSpan w:val="2"/>
          </w:tcPr>
          <w:p w:rsidR="0062353C" w:rsidRPr="0062353C" w:rsidRDefault="0062353C" w:rsidP="0062353C">
            <w:pPr>
              <w:pStyle w:val="affffd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353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ABUZ FIZIC</w:t>
            </w:r>
          </w:p>
        </w:tc>
      </w:tr>
      <w:tr w:rsidR="00057208" w:rsidRPr="0062353C" w:rsidTr="0062353C">
        <w:trPr>
          <w:trHeight w:val="318"/>
        </w:trPr>
        <w:tc>
          <w:tcPr>
            <w:tcW w:w="7372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Indicatori fizici</w:t>
            </w:r>
          </w:p>
        </w:tc>
        <w:tc>
          <w:tcPr>
            <w:tcW w:w="8079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Indicatori comportamentali</w:t>
            </w:r>
          </w:p>
        </w:tc>
      </w:tr>
      <w:tr w:rsidR="00057208" w:rsidRPr="0062353C" w:rsidTr="0062353C">
        <w:trPr>
          <w:trHeight w:val="4896"/>
        </w:trPr>
        <w:tc>
          <w:tcPr>
            <w:tcW w:w="7372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Răni frecvente – tăieturi, vânătăi, arsuri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Copilul poartă haine cu mâneca lunga pe timp călduros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Durere în ciuda lipsei rănilor vizibile Incapacitatea de a duce la bun sfârşit sarcini ce implică abilităţi motorii fine datorită durerilor în degete, mâini Dificultăţi în a merge sau a sta în şezut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Răni sau fracturi neexplicate, arsuri, răni de diferite forme şi vârste care apar mai des după o absenţă de la şcoală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Muşcături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Rana care nu e consistentă cu explicaţia sau cu stadiul de dezvoltare al copilului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Rană dificil de explicat pentru un copil de vârsta mică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semne la nivelul abdomenului – hamatoame sau indicii ale unor răni interne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079" w:type="dxa"/>
          </w:tcPr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Lipsa de la şcoală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Refuzul de a se schimba pentru orele de educate fizică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Copilul găseşte motive să mai rămână la şcoală şi să nu plece acasă, frica de a merge acasă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 atitudine speriată în mod constant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Frica de adulţi sau precaut în fata adulţilor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Copilul se plânge frecvent ca părinţii se comporta dur cu el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Frica de părinţi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Abuz de alcool sau droguri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Delicvența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Deşi rănit, pretinde că nu simte durerea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 vrea să discute despre rană pe care o are Anxietate socială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Agresivitate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Depresie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Tendinţe suicidale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Tendinţa de a fugi</w:t>
            </w:r>
          </w:p>
          <w:p w:rsidR="00057208" w:rsidRPr="0062353C" w:rsidRDefault="00057208" w:rsidP="0005720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Autoinvinuire</w:t>
            </w:r>
          </w:p>
          <w:p w:rsidR="00057208" w:rsidRPr="0062353C" w:rsidRDefault="00057208" w:rsidP="00057208">
            <w:pPr>
              <w:widowControl w:val="0"/>
              <w:spacing w:line="273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2353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Ascunderea rănilor</w:t>
            </w:r>
          </w:p>
        </w:tc>
      </w:tr>
    </w:tbl>
    <w:p w:rsidR="00057208" w:rsidRPr="00057208" w:rsidRDefault="00057208" w:rsidP="00057208">
      <w:pPr>
        <w:pStyle w:val="affffd"/>
        <w:rPr>
          <w:sz w:val="6"/>
          <w:lang w:val="en-US"/>
        </w:rPr>
      </w:pPr>
    </w:p>
    <w:sectPr w:rsidR="00057208" w:rsidRPr="00057208" w:rsidSect="00523273">
      <w:footerReference w:type="default" r:id="rId15"/>
      <w:footerReference w:type="first" r:id="rId16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771" w:rsidRDefault="008C1771" w:rsidP="0037743C">
      <w:pPr>
        <w:spacing w:after="0" w:line="240" w:lineRule="auto"/>
      </w:pPr>
      <w:r>
        <w:separator/>
      </w:r>
    </w:p>
  </w:endnote>
  <w:endnote w:type="continuationSeparator" w:id="0">
    <w:p w:rsidR="008C1771" w:rsidRDefault="008C1771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F14069" w:rsidRDefault="000E2C45">
    <w:pPr>
      <w:pStyle w:val="afff9"/>
      <w:rPr>
        <w:lang w:val="ro-RO"/>
      </w:rPr>
    </w:pPr>
    <w:r w:rsidRPr="00F14069">
      <w:rPr>
        <w:noProof/>
        <w:lang w:val="ro-RO" w:bidi="ru-RU"/>
      </w:rPr>
      <mc:AlternateContent>
        <mc:Choice Requires="wps">
          <w:drawing>
            <wp:inline distT="0" distB="0" distL="0" distR="0" wp14:anchorId="28004011" wp14:editId="59459996">
              <wp:extent cx="9134856" cy="137160"/>
              <wp:effectExtent l="0" t="0" r="9525" b="0"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896EEA" id="Нижний колонтитул — продолжение (прямоугольник)" o:spid="_x0000_s1026" alt="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0E2C45" w:rsidRDefault="000E2C45" w:rsidP="000E2C45">
    <w:pPr>
      <w:pStyle w:val="afff9"/>
      <w:tabs>
        <w:tab w:val="left" w:pos="10513"/>
      </w:tabs>
    </w:pPr>
    <w:r>
      <w:rPr>
        <w:noProof/>
        <w:lang w:bidi="ru-RU"/>
      </w:rPr>
      <mc:AlternateContent>
        <mc:Choice Requires="wps">
          <w:drawing>
            <wp:inline distT="0" distB="0" distL="0" distR="0" wp14:anchorId="23826222" wp14:editId="69889FA0">
              <wp:extent cx="2430000" cy="137127"/>
              <wp:effectExtent l="0" t="0" r="8890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1F82B2" id="Прямоугольник в нижнем колонтитуле справа на первой странице" o:spid="_x0000_s1026" alt="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    <w10:anchorlock/>
            </v:rect>
          </w:pict>
        </mc:Fallback>
      </mc:AlternateContent>
    </w:r>
    <w:r>
      <w:rPr>
        <w:lang w:bidi="ru-RU"/>
      </w:rPr>
      <w:tab/>
    </w:r>
    <w:r>
      <w:rPr>
        <w:noProof/>
        <w:lang w:bidi="ru-RU"/>
      </w:rPr>
      <mc:AlternateContent>
        <mc:Choice Requires="wps">
          <w:drawing>
            <wp:inline distT="0" distB="0" distL="0" distR="0" wp14:anchorId="10E55A8F" wp14:editId="49CFEA0E">
              <wp:extent cx="2459736" cy="228544"/>
              <wp:effectExtent l="0" t="0" r="0" b="635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61BF09D" id="Прямоугольник в нижнем колонтитуле слева на первой странице" o:spid="_x0000_s1026" alt="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771" w:rsidRDefault="008C1771" w:rsidP="0037743C">
      <w:pPr>
        <w:spacing w:after="0" w:line="240" w:lineRule="auto"/>
      </w:pPr>
      <w:r>
        <w:separator/>
      </w:r>
    </w:p>
  </w:footnote>
  <w:footnote w:type="continuationSeparator" w:id="0">
    <w:p w:rsidR="008C1771" w:rsidRDefault="008C1771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4B83618"/>
    <w:multiLevelType w:val="hybridMultilevel"/>
    <w:tmpl w:val="F7A89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E8378DE"/>
    <w:multiLevelType w:val="hybridMultilevel"/>
    <w:tmpl w:val="423A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08"/>
    <w:rsid w:val="00016C11"/>
    <w:rsid w:val="000425F6"/>
    <w:rsid w:val="00057208"/>
    <w:rsid w:val="00075279"/>
    <w:rsid w:val="000E2C45"/>
    <w:rsid w:val="00206800"/>
    <w:rsid w:val="00273FD8"/>
    <w:rsid w:val="00275195"/>
    <w:rsid w:val="002F5ECB"/>
    <w:rsid w:val="003270C5"/>
    <w:rsid w:val="003309C2"/>
    <w:rsid w:val="0037743C"/>
    <w:rsid w:val="003E1E9B"/>
    <w:rsid w:val="00400FAF"/>
    <w:rsid w:val="00425687"/>
    <w:rsid w:val="0048709F"/>
    <w:rsid w:val="00523273"/>
    <w:rsid w:val="00555FE1"/>
    <w:rsid w:val="005F496D"/>
    <w:rsid w:val="0062353C"/>
    <w:rsid w:val="00632BB1"/>
    <w:rsid w:val="00636FE2"/>
    <w:rsid w:val="0069002D"/>
    <w:rsid w:val="006A6B87"/>
    <w:rsid w:val="00704FD6"/>
    <w:rsid w:val="00712321"/>
    <w:rsid w:val="00726D69"/>
    <w:rsid w:val="007327A6"/>
    <w:rsid w:val="00751AA2"/>
    <w:rsid w:val="007B03D6"/>
    <w:rsid w:val="007C70E3"/>
    <w:rsid w:val="008C1771"/>
    <w:rsid w:val="009775E0"/>
    <w:rsid w:val="009C3321"/>
    <w:rsid w:val="00A01D2E"/>
    <w:rsid w:val="00A92C80"/>
    <w:rsid w:val="00CA1864"/>
    <w:rsid w:val="00CD1B39"/>
    <w:rsid w:val="00CD4ED2"/>
    <w:rsid w:val="00CE1E3B"/>
    <w:rsid w:val="00CF1B6A"/>
    <w:rsid w:val="00D2631E"/>
    <w:rsid w:val="00D91EF3"/>
    <w:rsid w:val="00DA03C3"/>
    <w:rsid w:val="00DC332A"/>
    <w:rsid w:val="00E36671"/>
    <w:rsid w:val="00E75E55"/>
    <w:rsid w:val="00E938FB"/>
    <w:rsid w:val="00ED7C90"/>
    <w:rsid w:val="00F1406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13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Заголовок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styleId="-13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0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0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-43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0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0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3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-520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-530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-5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-5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-5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-63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0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0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styleId="-1a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121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131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140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150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160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2a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1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1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0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0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0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a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1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1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0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0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0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a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1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1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0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0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0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0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styleId="15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0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1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styleId="affffff4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styleId="affffff5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styleId="-0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styleId="affffff6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a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A6536391-9FFA-49C4-B3EC-6B211E40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2021-02-03T09:41:00Z</dcterms:created>
  <dcterms:modified xsi:type="dcterms:W3CDTF">2021-02-03T10:07:00Z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